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431" w:rsidRDefault="00151431" w:rsidP="00151431">
      <w:pPr>
        <w:jc w:val="center"/>
        <w:rPr>
          <w:rFonts w:ascii="Arial" w:hAnsi="Arial" w:cs="Arial"/>
          <w:b/>
          <w:bCs/>
          <w:color w:val="000000"/>
          <w:sz w:val="20"/>
          <w:szCs w:val="20"/>
        </w:rPr>
      </w:pPr>
      <w:bookmarkStart w:id="0" w:name="_GoBack"/>
      <w:bookmarkEnd w:id="0"/>
      <w:r w:rsidRPr="00151431">
        <w:rPr>
          <w:rFonts w:ascii="Arial" w:hAnsi="Arial" w:cs="Arial"/>
          <w:b/>
          <w:bCs/>
          <w:color w:val="000000"/>
          <w:sz w:val="20"/>
          <w:szCs w:val="20"/>
        </w:rPr>
        <w:t>Micro, Small and Medium Enterprises in India</w:t>
      </w:r>
    </w:p>
    <w:p w:rsidR="00151431" w:rsidRDefault="00151431" w:rsidP="00151431">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151431" w:rsidTr="00151431">
        <w:tc>
          <w:tcPr>
            <w:tcW w:w="704" w:type="dxa"/>
          </w:tcPr>
          <w:p w:rsidR="00151431" w:rsidRPr="00151431" w:rsidRDefault="00151431" w:rsidP="00151431">
            <w:pPr>
              <w:jc w:val="center"/>
              <w:rPr>
                <w:rFonts w:ascii="Arial" w:hAnsi="Arial" w:cs="Arial"/>
                <w:b/>
                <w:bCs/>
                <w:color w:val="000000"/>
                <w:sz w:val="18"/>
                <w:szCs w:val="18"/>
              </w:rPr>
            </w:pPr>
            <w:proofErr w:type="spellStart"/>
            <w:r w:rsidRPr="00151431">
              <w:rPr>
                <w:rFonts w:ascii="Arial" w:hAnsi="Arial" w:cs="Arial"/>
                <w:b/>
                <w:bCs/>
                <w:color w:val="000000"/>
                <w:sz w:val="18"/>
                <w:szCs w:val="18"/>
              </w:rPr>
              <w:t>Sr.No</w:t>
            </w:r>
            <w:proofErr w:type="spellEnd"/>
            <w:r w:rsidRPr="00151431">
              <w:rPr>
                <w:rFonts w:ascii="Arial" w:hAnsi="Arial" w:cs="Arial"/>
                <w:b/>
                <w:bCs/>
                <w:color w:val="000000"/>
                <w:sz w:val="18"/>
                <w:szCs w:val="18"/>
              </w:rPr>
              <w:t>.</w:t>
            </w:r>
          </w:p>
        </w:tc>
        <w:tc>
          <w:tcPr>
            <w:tcW w:w="8312" w:type="dxa"/>
          </w:tcPr>
          <w:p w:rsidR="00151431" w:rsidRPr="00151431" w:rsidRDefault="00151431" w:rsidP="00151431">
            <w:pPr>
              <w:jc w:val="center"/>
              <w:rPr>
                <w:rFonts w:ascii="Arial" w:hAnsi="Arial" w:cs="Arial"/>
                <w:b/>
                <w:bCs/>
                <w:color w:val="000000"/>
                <w:sz w:val="18"/>
                <w:szCs w:val="18"/>
              </w:rPr>
            </w:pPr>
            <w:r w:rsidRPr="00151431">
              <w:rPr>
                <w:rFonts w:ascii="Arial" w:hAnsi="Arial" w:cs="Arial"/>
                <w:b/>
                <w:bCs/>
                <w:color w:val="000000"/>
                <w:sz w:val="18"/>
                <w:szCs w:val="18"/>
              </w:rPr>
              <w:t>RBI Notifications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w:t>
            </w:r>
          </w:p>
        </w:tc>
        <w:tc>
          <w:tcPr>
            <w:tcW w:w="8312" w:type="dxa"/>
            <w:tcBorders>
              <w:top w:val="single" w:sz="4" w:space="0" w:color="auto"/>
              <w:left w:val="single" w:sz="4" w:space="0" w:color="auto"/>
              <w:bottom w:val="single" w:sz="4" w:space="0" w:color="auto"/>
              <w:right w:val="single" w:sz="4" w:space="0" w:color="auto"/>
            </w:tcBorders>
            <w:shd w:val="clear" w:color="auto" w:fill="auto"/>
            <w:vAlign w:val="center"/>
          </w:tcPr>
          <w:p w:rsidR="00151431" w:rsidRDefault="00151431" w:rsidP="00151431">
            <w:pPr>
              <w:spacing w:line="240" w:lineRule="auto"/>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2</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3</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4</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Integrated Ombudsman Scheme, 2021</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5</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Master Circular - Guarantees and Co-acceptances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6</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Master Circular- Guarantees, Co-Acceptances &amp; Letters of Credit - UCBs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7</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Prompt Corrective Action (PCA) Framework for Scheduled Commercial Banks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8</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Master Circular- Income Recognition, Asset Classification, Provisioning and Other Related Matters – UCBs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9</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Opening of Current Accounts by Banks - Need for Discipline</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10</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Gold Monetization Scheme (GMS), 2015</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11</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Sovereign Gold Bond Scheme of the Government of India (</w:t>
            </w:r>
            <w:proofErr w:type="spellStart"/>
            <w:r>
              <w:rPr>
                <w:rFonts w:ascii="Calibri" w:hAnsi="Calibri" w:cs="Calibri"/>
                <w:sz w:val="20"/>
                <w:szCs w:val="20"/>
              </w:rPr>
              <w:t>GoI</w:t>
            </w:r>
            <w:proofErr w:type="spellEnd"/>
            <w:r>
              <w:rPr>
                <w:rFonts w:ascii="Calibri" w:hAnsi="Calibri" w:cs="Calibri"/>
                <w:sz w:val="20"/>
                <w:szCs w:val="20"/>
              </w:rPr>
              <w:t>) - Procedural Guidelines - Consolidated</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12</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Data Format for Furnishing of Credit Information to Credit Information Companies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13</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14</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15</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16</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Master Direction – Reserve Bank of India (Securitisation of Standard Assets) Directions, 2021</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17</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Enhancements to Indo-Nepal Remittance Facility Scheme</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18</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Resolution Framework for COVID-19-related Stress – Financial Parameters – Revised timelines for compliance</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19</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Guidelines for Implementation of the circular on Opening of Current Accounts by Banks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20</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Loans and Advances – Regulatory Restrictions</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21</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Roadmap for LIBOR Transition</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22</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New Definition of Micro, Small and Medium Enterprises - Addition of Retail and Wholesale Trade</w:t>
            </w:r>
          </w:p>
        </w:tc>
      </w:tr>
      <w:tr w:rsidR="00151431" w:rsidTr="00A95BA6">
        <w:tc>
          <w:tcPr>
            <w:tcW w:w="704" w:type="dxa"/>
          </w:tcPr>
          <w:p w:rsidR="00151431" w:rsidRPr="00151431" w:rsidRDefault="00151431" w:rsidP="00151431">
            <w:pPr>
              <w:jc w:val="center"/>
              <w:rPr>
                <w:rFonts w:cstheme="minorHAnsi"/>
                <w:bCs/>
                <w:color w:val="000000"/>
                <w:sz w:val="20"/>
                <w:szCs w:val="20"/>
              </w:rPr>
            </w:pPr>
            <w:r w:rsidRPr="00151431">
              <w:rPr>
                <w:rFonts w:cstheme="minorHAnsi"/>
                <w:bCs/>
                <w:color w:val="000000"/>
                <w:sz w:val="20"/>
                <w:szCs w:val="20"/>
              </w:rPr>
              <w:t>23</w:t>
            </w:r>
          </w:p>
        </w:tc>
        <w:tc>
          <w:tcPr>
            <w:tcW w:w="8312" w:type="dxa"/>
            <w:tcBorders>
              <w:top w:val="nil"/>
              <w:left w:val="single" w:sz="4" w:space="0" w:color="auto"/>
              <w:bottom w:val="single" w:sz="4" w:space="0" w:color="auto"/>
              <w:right w:val="single" w:sz="4" w:space="0" w:color="auto"/>
            </w:tcBorders>
            <w:shd w:val="clear" w:color="auto" w:fill="auto"/>
            <w:vAlign w:val="center"/>
          </w:tcPr>
          <w:p w:rsidR="00151431" w:rsidRDefault="00151431" w:rsidP="00151431">
            <w:pPr>
              <w:rPr>
                <w:rFonts w:ascii="Calibri" w:hAnsi="Calibri" w:cs="Calibri"/>
                <w:sz w:val="20"/>
                <w:szCs w:val="20"/>
              </w:rPr>
            </w:pPr>
            <w:r>
              <w:rPr>
                <w:rFonts w:ascii="Calibri" w:hAnsi="Calibri" w:cs="Calibri"/>
                <w:sz w:val="20"/>
                <w:szCs w:val="20"/>
              </w:rPr>
              <w:t>Interest Equalization Scheme on Pre and Post Shipment Rupee Export Credit - Extension</w:t>
            </w:r>
          </w:p>
        </w:tc>
      </w:tr>
    </w:tbl>
    <w:p w:rsidR="00151431" w:rsidRDefault="00151431" w:rsidP="00151431">
      <w:pPr>
        <w:rPr>
          <w:rFonts w:ascii="Arial" w:hAnsi="Arial" w:cs="Arial"/>
          <w:b/>
          <w:bCs/>
          <w:color w:val="000000"/>
          <w:sz w:val="20"/>
          <w:szCs w:val="20"/>
        </w:rPr>
      </w:pPr>
    </w:p>
    <w:p w:rsidR="00151431" w:rsidRDefault="00151431" w:rsidP="008F1299">
      <w:pPr>
        <w:rPr>
          <w:rFonts w:ascii="Arial" w:hAnsi="Arial" w:cs="Arial"/>
          <w:b/>
          <w:bCs/>
          <w:color w:val="000000"/>
          <w:sz w:val="20"/>
          <w:szCs w:val="20"/>
        </w:rPr>
      </w:pPr>
    </w:p>
    <w:p w:rsidR="008F1299" w:rsidRDefault="008F1299" w:rsidP="008F1299">
      <w:r>
        <w:rPr>
          <w:rFonts w:ascii="Arial" w:hAnsi="Arial" w:cs="Arial"/>
          <w:b/>
          <w:bCs/>
          <w:color w:val="000000"/>
          <w:sz w:val="20"/>
          <w:szCs w:val="20"/>
        </w:rPr>
        <w:t>Section 24 of the Banking Regulation Act, 1949 – Maintenance of Statutory Liquidity Ratio (SLR) – Marginal Standing Facility (MSF) - return to the normal dispensation</w:t>
      </w:r>
    </w:p>
    <w:p w:rsidR="008F1299" w:rsidRDefault="008F1299" w:rsidP="008F1299">
      <w:r>
        <w:t>RBI/2021-22/138</w:t>
      </w:r>
      <w:r>
        <w:br/>
        <w:t>DOR.RET.REC.73/12.01.001/2021-22</w:t>
      </w:r>
    </w:p>
    <w:p w:rsidR="008F1299" w:rsidRDefault="008F1299" w:rsidP="008F1299">
      <w:r>
        <w:t>December 10, 2021</w:t>
      </w:r>
    </w:p>
    <w:p w:rsidR="008F1299" w:rsidRDefault="008F1299" w:rsidP="008F1299">
      <w:r>
        <w:t>All Scheduled Banks</w:t>
      </w:r>
    </w:p>
    <w:p w:rsidR="008F1299" w:rsidRDefault="008F1299" w:rsidP="008F1299">
      <w:r>
        <w:t>Madam/Sir,</w:t>
      </w:r>
    </w:p>
    <w:p w:rsidR="008F1299" w:rsidRDefault="008F1299" w:rsidP="008F1299">
      <w:pPr>
        <w:rPr>
          <w:b/>
          <w:bCs/>
        </w:rPr>
      </w:pPr>
      <w:r>
        <w:rPr>
          <w:b/>
          <w:bCs/>
        </w:rPr>
        <w:t>Section 24 of the Banking Regulation Act, 1949 – Maintenance of Statutory Liquidity Ratio (SLR) – Marginal Standing Facility (MSF) - return to the normal dispensation</w:t>
      </w:r>
    </w:p>
    <w:p w:rsidR="008F1299" w:rsidRDefault="008F1299" w:rsidP="008F1299">
      <w:r>
        <w:lastRenderedPageBreak/>
        <w:t>Please refer to </w:t>
      </w:r>
      <w:hyperlink r:id="rId5" w:tgtFrame="_blank" w:history="1">
        <w:r>
          <w:rPr>
            <w:rStyle w:val="Hyperlink"/>
          </w:rPr>
          <w:t>circular DOR.RET.REC.36/12.01.001/2021-22 dated August 09, 2021</w:t>
        </w:r>
      </w:hyperlink>
      <w:r>
        <w:t> and paragraph 15(</w:t>
      </w:r>
      <w:proofErr w:type="spellStart"/>
      <w:r>
        <w:t>i</w:t>
      </w:r>
      <w:proofErr w:type="spellEnd"/>
      <w:r>
        <w:t>) of the </w:t>
      </w:r>
      <w:hyperlink r:id="rId6" w:tgtFrame="_blank" w:history="1">
        <w:r>
          <w:rPr>
            <w:rStyle w:val="Hyperlink"/>
          </w:rPr>
          <w:t>Master Direction DOR.No.RET.REC.32/12.01.001/2021-22 dated July 20, 2021</w:t>
        </w:r>
      </w:hyperlink>
      <w:r>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7" w:tgtFrame="_blank" w:history="1">
        <w:r>
          <w:rPr>
            <w:rStyle w:val="Hyperlink"/>
          </w:rPr>
          <w:t>circular DOR.RET.REC.36/12.01.001/2021-22 dated August 09, 2021</w:t>
        </w:r>
      </w:hyperlink>
      <w:r>
        <w:t>.</w:t>
      </w:r>
    </w:p>
    <w:p w:rsidR="008F1299" w:rsidRDefault="008F1299" w:rsidP="008F1299">
      <w:r>
        <w:t>2. As announced in the </w:t>
      </w:r>
      <w:hyperlink r:id="rId8" w:tgtFrame="_blank" w:history="1">
        <w:r>
          <w:rPr>
            <w:rStyle w:val="Hyperlink"/>
          </w:rPr>
          <w:t>Governor’s Statement dated December 08, 2021</w:t>
        </w:r>
      </w:hyperlink>
      <w:r>
        <w:t>, it is proposed to return to the normal dispensation. Accordingly, banks will be able to dip into the Statutory Liquidity Ratio (SLR) up to two percent of NDTL instead of three percent for overnight borrowing under the MSF with effect from January 1, 2022.</w:t>
      </w:r>
    </w:p>
    <w:p w:rsidR="008F1299" w:rsidRDefault="008F1299" w:rsidP="008F1299">
      <w:r>
        <w:t>Yours faithfully,</w:t>
      </w:r>
    </w:p>
    <w:p w:rsidR="008F1299" w:rsidRDefault="008F1299" w:rsidP="008F1299">
      <w:r>
        <w:t>(Thomas Mathew)</w:t>
      </w:r>
      <w:r>
        <w:br/>
        <w:t>Chief General Manager</w:t>
      </w:r>
    </w:p>
    <w:p w:rsidR="008F1299" w:rsidRDefault="008F1299" w:rsidP="008F1299">
      <w:r>
        <w:t xml:space="preserve">Reference link: </w:t>
      </w:r>
      <w:hyperlink r:id="rId9" w:history="1">
        <w:r>
          <w:rPr>
            <w:rStyle w:val="Hyperlink"/>
          </w:rPr>
          <w:t>https://www.rbi.org.in/Scripts/NotificationUser.aspx?Id=12207&amp;Mode=0</w:t>
        </w:r>
      </w:hyperlink>
    </w:p>
    <w:p w:rsidR="008F1299" w:rsidRDefault="008F1299" w:rsidP="008F1299"/>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External Commercial Borrowings (ECB) and Trade Credits (TC) Policy – Changes due to LIBOR transition</w:t>
      </w:r>
    </w:p>
    <w:p w:rsidR="008F1299" w:rsidRDefault="008F1299" w:rsidP="008F1299">
      <w:r>
        <w:t>RBI/2021-22/135</w:t>
      </w:r>
      <w:r>
        <w:br/>
        <w:t>A.P. (DIR Series) Circular No. 19</w:t>
      </w:r>
    </w:p>
    <w:p w:rsidR="008F1299" w:rsidRDefault="008F1299" w:rsidP="008F1299">
      <w:r>
        <w:t>December 08, 2021</w:t>
      </w:r>
    </w:p>
    <w:p w:rsidR="008F1299" w:rsidRDefault="008F1299" w:rsidP="008F1299">
      <w:r>
        <w:t>To</w:t>
      </w:r>
    </w:p>
    <w:p w:rsidR="008F1299" w:rsidRDefault="008F1299" w:rsidP="008F1299">
      <w:r>
        <w:t>All Category-I Authorised Dealer Banks</w:t>
      </w:r>
    </w:p>
    <w:p w:rsidR="008F1299" w:rsidRDefault="008F1299" w:rsidP="008F1299">
      <w:r>
        <w:t>Madam / Sir,</w:t>
      </w:r>
    </w:p>
    <w:p w:rsidR="008F1299" w:rsidRDefault="008F1299" w:rsidP="008F1299">
      <w:pPr>
        <w:rPr>
          <w:b/>
          <w:bCs/>
        </w:rPr>
      </w:pPr>
      <w:r>
        <w:rPr>
          <w:b/>
          <w:bCs/>
        </w:rPr>
        <w:t>External Commercial Borrowings (ECB) and Trade Credits (TC) Policy – Changes due to LIBOR transition</w:t>
      </w:r>
    </w:p>
    <w:p w:rsidR="008F1299" w:rsidRDefault="008F1299" w:rsidP="008F1299">
      <w:r>
        <w:t>Please refer to paragraph 3 of the </w:t>
      </w:r>
      <w:hyperlink r:id="rId10"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11"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8F1299" w:rsidRDefault="008F1299" w:rsidP="008F1299">
      <w:r>
        <w:t>2. In view of the imminent discontinuance of LIBOR as a benchmark rate, it has been decided, in consultation with stakeholders, to make the following changes to the all-in-cost benchmark and ceiling for FCY ECBs/ TCs:</w:t>
      </w:r>
    </w:p>
    <w:p w:rsidR="008F1299" w:rsidRDefault="008F1299" w:rsidP="008F1299">
      <w:proofErr w:type="spellStart"/>
      <w:r>
        <w:rPr>
          <w:b/>
          <w:bCs/>
        </w:rPr>
        <w:t>i</w:t>
      </w:r>
      <w:proofErr w:type="spellEnd"/>
      <w:r>
        <w:rPr>
          <w:b/>
          <w:bCs/>
        </w:rPr>
        <w:t>. Redefining Benchmark Rate for FCY ECBs and TCs:</w:t>
      </w:r>
      <w:r>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rsidR="008F1299" w:rsidRDefault="008F1299" w:rsidP="008F1299">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8F1299" w:rsidRDefault="008F1299" w:rsidP="008F1299">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8F1299" w:rsidRDefault="008F1299" w:rsidP="008F1299">
      <w:r>
        <w:t>3. There is no change in the all-in-cost benchmark and ceiling for INR ECBs/ TCs.</w:t>
      </w:r>
    </w:p>
    <w:p w:rsidR="008F1299" w:rsidRDefault="008F1299" w:rsidP="008F1299">
      <w:r>
        <w:t>4. All other provisions of the ECB/ TC policy remain unchanged. AD Category-I banks should bring the contents of this circular to the notice of their constituents/ customers.</w:t>
      </w:r>
    </w:p>
    <w:p w:rsidR="008F1299" w:rsidRDefault="008F1299" w:rsidP="008F1299">
      <w:r>
        <w:t>5. The </w:t>
      </w:r>
      <w:hyperlink r:id="rId12" w:tgtFrame="_blank" w:history="1">
        <w:r>
          <w:rPr>
            <w:rStyle w:val="Hyperlink"/>
          </w:rPr>
          <w:t>Master Direction No. 5 dated March 26, 2019</w:t>
        </w:r>
      </w:hyperlink>
      <w:r>
        <w:t>, is being updated to reflect the changes.</w:t>
      </w:r>
    </w:p>
    <w:p w:rsidR="008F1299" w:rsidRDefault="008F1299" w:rsidP="008F1299">
      <w:r>
        <w:t>6. The directions contained in this circular have been issued under section 10(4) and 11(2) of the Foreign Exchange Management Act, 1999 (42 of 1999) and are without prejudice to permissions/ approvals, if any, required under any other law.</w:t>
      </w:r>
    </w:p>
    <w:p w:rsidR="008F1299" w:rsidRDefault="008F1299" w:rsidP="008F1299">
      <w:r>
        <w:lastRenderedPageBreak/>
        <w:t>Yours faithfully</w:t>
      </w:r>
    </w:p>
    <w:p w:rsidR="008F1299" w:rsidRDefault="008F1299" w:rsidP="008F1299">
      <w:r>
        <w:t xml:space="preserve">Ajay Kumar </w:t>
      </w:r>
      <w:proofErr w:type="spellStart"/>
      <w:r>
        <w:t>Misra</w:t>
      </w:r>
      <w:proofErr w:type="spellEnd"/>
      <w:r>
        <w:br/>
        <w:t>Chief General Manager-in-Charge</w:t>
      </w:r>
    </w:p>
    <w:p w:rsidR="008F1299" w:rsidRDefault="008F1299" w:rsidP="008F1299">
      <w:r>
        <w:t xml:space="preserve">Reference link: </w:t>
      </w:r>
      <w:hyperlink r:id="rId13" w:history="1">
        <w:r>
          <w:rPr>
            <w:rStyle w:val="Hyperlink"/>
          </w:rPr>
          <w:t>https://www.rbi.org.in/Scripts/NotificationUser.aspx?Id=12204&amp;Mode=0</w:t>
        </w:r>
      </w:hyperlink>
    </w:p>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8F1299" w:rsidRDefault="008F1299" w:rsidP="008F1299">
      <w:r>
        <w:t>RBI/2021-2022/125</w:t>
      </w:r>
      <w:r>
        <w:br/>
        <w:t>DOR.STR.REC.68/21.04.048/2021-22</w:t>
      </w:r>
    </w:p>
    <w:p w:rsidR="008F1299" w:rsidRDefault="008F1299" w:rsidP="008F1299">
      <w:r>
        <w:t>November 12, 2021</w:t>
      </w:r>
    </w:p>
    <w:p w:rsidR="008F1299" w:rsidRDefault="008F1299" w:rsidP="008F1299">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8F1299" w:rsidRDefault="008F1299" w:rsidP="008F1299">
      <w:r>
        <w:t>Madam/Dear Sir,</w:t>
      </w:r>
    </w:p>
    <w:p w:rsidR="008F1299" w:rsidRDefault="008F1299" w:rsidP="008F1299">
      <w:pPr>
        <w:rPr>
          <w:b/>
          <w:bCs/>
        </w:rPr>
      </w:pPr>
      <w:r>
        <w:rPr>
          <w:b/>
          <w:bCs/>
        </w:rPr>
        <w:t>Prudential norms on Income Recognition, Asset Classification and Provisioning pertaining to Advances - Clarifications</w:t>
      </w:r>
    </w:p>
    <w:p w:rsidR="008F1299" w:rsidRDefault="008F1299" w:rsidP="008F1299">
      <w:r>
        <w:t>Please refer to the </w:t>
      </w:r>
      <w:hyperlink r:id="rId14"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8F1299" w:rsidRDefault="008F1299" w:rsidP="008F1299">
      <w:pPr>
        <w:rPr>
          <w:b/>
          <w:bCs/>
        </w:rPr>
      </w:pPr>
      <w:r>
        <w:rPr>
          <w:b/>
          <w:bCs/>
        </w:rPr>
        <w:t>A. Specification of due date/repayment date</w:t>
      </w:r>
    </w:p>
    <w:p w:rsidR="008F1299" w:rsidRDefault="008F1299" w:rsidP="008F1299">
      <w:pPr>
        <w:rPr>
          <w:b/>
          <w:bCs/>
        </w:rPr>
      </w:pPr>
      <w:r>
        <w:rPr>
          <w:b/>
          <w:bCs/>
        </w:rPr>
        <w:t>B. Classification as Special Mention Account (SMA) and Non-Performing Asset (NPA)</w:t>
      </w:r>
    </w:p>
    <w:p w:rsidR="008F1299" w:rsidRDefault="008F1299" w:rsidP="008F1299">
      <w:pPr>
        <w:rPr>
          <w:b/>
          <w:bCs/>
        </w:rPr>
      </w:pPr>
      <w:r>
        <w:rPr>
          <w:b/>
          <w:bCs/>
        </w:rPr>
        <w:t>C. Clarification regarding definition of ‘out of order’</w:t>
      </w:r>
    </w:p>
    <w:p w:rsidR="008F1299" w:rsidRDefault="008F1299" w:rsidP="008F1299">
      <w:r>
        <w:rPr>
          <w:b/>
          <w:bCs/>
        </w:rPr>
        <w:t>D. NPA classification in case of interest payments</w:t>
      </w:r>
    </w:p>
    <w:p w:rsidR="008F1299" w:rsidRDefault="008F1299" w:rsidP="008F1299">
      <w:r>
        <w:rPr>
          <w:b/>
          <w:bCs/>
        </w:rPr>
        <w:t>E. Upgradation of accounts classified as NPAs</w:t>
      </w:r>
    </w:p>
    <w:p w:rsidR="008F1299" w:rsidRDefault="008F1299" w:rsidP="008F1299">
      <w:pPr>
        <w:rPr>
          <w:b/>
          <w:bCs/>
        </w:rPr>
      </w:pPr>
      <w:r>
        <w:rPr>
          <w:b/>
          <w:bCs/>
        </w:rPr>
        <w:t>F. Income recognition policy for loans with moratorium on payment of interest</w:t>
      </w:r>
    </w:p>
    <w:p w:rsidR="008F1299" w:rsidRDefault="008F1299" w:rsidP="008F1299">
      <w:r>
        <w:rPr>
          <w:b/>
          <w:bCs/>
        </w:rPr>
        <w:t>G. Consumer Education</w:t>
      </w:r>
    </w:p>
    <w:p w:rsidR="008F1299" w:rsidRDefault="008F1299" w:rsidP="008F1299"/>
    <w:p w:rsidR="008F1299" w:rsidRDefault="008F1299" w:rsidP="008F1299">
      <w:r>
        <w:t>Details under each aspect may be referred from the below link</w:t>
      </w:r>
    </w:p>
    <w:p w:rsidR="008F1299" w:rsidRDefault="008F1299" w:rsidP="008F1299">
      <w:r>
        <w:t xml:space="preserve">Reference link: </w:t>
      </w:r>
      <w:hyperlink r:id="rId15" w:history="1">
        <w:r>
          <w:rPr>
            <w:rStyle w:val="Hyperlink"/>
          </w:rPr>
          <w:t>https://www.rbi.org.in/Scripts/NotificationUser.aspx?Id=12194&amp;Mode=0</w:t>
        </w:r>
      </w:hyperlink>
    </w:p>
    <w:p w:rsidR="008F1299" w:rsidRDefault="008F1299" w:rsidP="008F1299">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8F1299" w:rsidRDefault="008F1299" w:rsidP="008F1299">
      <w:pPr>
        <w:rPr>
          <w:b/>
          <w:bCs/>
        </w:rPr>
      </w:pPr>
      <w:r>
        <w:rPr>
          <w:b/>
          <w:bCs/>
        </w:rPr>
        <w:t>DEPUTY GOVERNOR</w:t>
      </w:r>
    </w:p>
    <w:p w:rsidR="008F1299" w:rsidRDefault="008F1299" w:rsidP="008F1299">
      <w:pPr>
        <w:rPr>
          <w:b/>
          <w:bCs/>
        </w:rPr>
      </w:pPr>
      <w:r>
        <w:rPr>
          <w:b/>
          <w:bCs/>
        </w:rPr>
        <w:t>Reserve Bank of India</w:t>
      </w:r>
      <w:r>
        <w:rPr>
          <w:b/>
          <w:bCs/>
        </w:rPr>
        <w:br/>
        <w:t>Mumbai</w:t>
      </w:r>
    </w:p>
    <w:p w:rsidR="008F1299" w:rsidRDefault="008F1299" w:rsidP="008F1299">
      <w:pPr>
        <w:rPr>
          <w:b/>
          <w:bCs/>
        </w:rPr>
      </w:pPr>
      <w:r>
        <w:rPr>
          <w:b/>
          <w:bCs/>
        </w:rPr>
        <w:t> </w:t>
      </w:r>
    </w:p>
    <w:p w:rsidR="008F1299" w:rsidRDefault="008F1299" w:rsidP="008F1299">
      <w:pPr>
        <w:rPr>
          <w:b/>
          <w:bCs/>
        </w:rPr>
      </w:pPr>
      <w:r>
        <w:rPr>
          <w:b/>
          <w:bCs/>
        </w:rPr>
        <w:t>Reserve Bank - Integrated Ombudsman Scheme, 2021</w:t>
      </w:r>
    </w:p>
    <w:p w:rsidR="008F1299" w:rsidRDefault="008F1299" w:rsidP="008F1299">
      <w:pPr>
        <w:rPr>
          <w:b/>
          <w:bCs/>
        </w:rPr>
      </w:pPr>
      <w:r>
        <w:rPr>
          <w:b/>
          <w:bCs/>
          <w:u w:val="single"/>
        </w:rPr>
        <w:t>NOTIFICATION</w:t>
      </w:r>
    </w:p>
    <w:p w:rsidR="008F1299" w:rsidRDefault="008F1299" w:rsidP="008F1299">
      <w:r>
        <w:t xml:space="preserve">Ref. CEPD. PRD. </w:t>
      </w:r>
      <w:proofErr w:type="gramStart"/>
      <w:r>
        <w:t>No.S</w:t>
      </w:r>
      <w:proofErr w:type="gramEnd"/>
      <w:r>
        <w:t>873/13.01.001/2021-22</w:t>
      </w:r>
    </w:p>
    <w:p w:rsidR="008F1299" w:rsidRDefault="008F1299" w:rsidP="008F1299">
      <w:r>
        <w:t>November 12, 2021</w:t>
      </w:r>
    </w:p>
    <w:p w:rsidR="008F1299" w:rsidRDefault="008F1299" w:rsidP="008F1299">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16" w:tgtFrame="_blank" w:history="1">
        <w:r>
          <w:rPr>
            <w:rStyle w:val="Hyperlink"/>
          </w:rPr>
          <w:t>CEPD. PRS. No. 3590/13.01.004/2017-18 dated February 23, 2018</w:t>
        </w:r>
      </w:hyperlink>
      <w:r>
        <w:t>; and (iii) </w:t>
      </w:r>
      <w:hyperlink r:id="rId17"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18" w:tgtFrame="_blank" w:history="1">
        <w:r>
          <w:rPr>
            <w:rStyle w:val="Hyperlink"/>
          </w:rPr>
          <w:t>the Banking Ombudsman Scheme, 2006</w:t>
        </w:r>
      </w:hyperlink>
      <w:r>
        <w:t>, as amended up to July 01, 2017; (ii) </w:t>
      </w:r>
      <w:hyperlink r:id="rId19" w:tgtFrame="_blank" w:history="1">
        <w:r>
          <w:rPr>
            <w:rStyle w:val="Hyperlink"/>
          </w:rPr>
          <w:t>the Ombudsman Scheme for Non-Banking Financial Companies, 2018</w:t>
        </w:r>
      </w:hyperlink>
      <w:r>
        <w:t>; and (iii) </w:t>
      </w:r>
      <w:hyperlink r:id="rId20" w:tgtFrame="_blank" w:history="1">
        <w:r>
          <w:rPr>
            <w:rStyle w:val="Hyperlink"/>
          </w:rPr>
          <w:t>the Ombudsman Scheme for Digital Transactions, 2019</w:t>
        </w:r>
      </w:hyperlink>
      <w:r>
        <w:t> into the Reserve Bank - Integrated Ombudsman Scheme, 2021 (the Scheme).</w:t>
      </w:r>
    </w:p>
    <w:p w:rsidR="008F1299" w:rsidRDefault="008F1299" w:rsidP="008F1299">
      <w:r>
        <w:t>2. The Scheme covers the following regulated entities:</w:t>
      </w:r>
    </w:p>
    <w:p w:rsidR="008F1299" w:rsidRDefault="008F1299" w:rsidP="008F1299">
      <w:pPr>
        <w:numPr>
          <w:ilvl w:val="0"/>
          <w:numId w:val="1"/>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8F1299" w:rsidRDefault="008F1299" w:rsidP="008F1299">
      <w:pPr>
        <w:numPr>
          <w:ilvl w:val="0"/>
          <w:numId w:val="1"/>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8F1299" w:rsidRDefault="008F1299" w:rsidP="008F1299">
      <w:pPr>
        <w:numPr>
          <w:ilvl w:val="0"/>
          <w:numId w:val="1"/>
        </w:numPr>
      </w:pPr>
      <w:r>
        <w:t>all System Participants as defined under the Scheme.</w:t>
      </w:r>
    </w:p>
    <w:p w:rsidR="008F1299" w:rsidRDefault="008F1299" w:rsidP="008F1299">
      <w:r>
        <w:t>3. The regulated entities shall comply with the Scheme from the date of its implementation.</w:t>
      </w:r>
    </w:p>
    <w:p w:rsidR="008F1299" w:rsidRDefault="008F1299" w:rsidP="008F1299">
      <w:r>
        <w:t>4. The format for filing a complaint under the Scheme is </w:t>
      </w:r>
      <w:hyperlink r:id="rId21" w:tgtFrame="_blank" w:history="1">
        <w:r>
          <w:rPr>
            <w:rStyle w:val="Hyperlink"/>
          </w:rPr>
          <w:t>annexed</w:t>
        </w:r>
      </w:hyperlink>
      <w:r>
        <w:t>.</w:t>
      </w:r>
    </w:p>
    <w:p w:rsidR="008F1299" w:rsidRDefault="008F1299" w:rsidP="008F1299">
      <w:r>
        <w:t>5. The </w:t>
      </w:r>
      <w:hyperlink r:id="rId22" w:tgtFrame="_blank" w:history="1">
        <w:r>
          <w:rPr>
            <w:rStyle w:val="Hyperlink"/>
          </w:rPr>
          <w:t>Scheme</w:t>
        </w:r>
      </w:hyperlink>
      <w:r>
        <w:t> shall come into force from November 12, 2021.</w:t>
      </w:r>
    </w:p>
    <w:p w:rsidR="008F1299" w:rsidRDefault="008F1299" w:rsidP="008F1299">
      <w:r>
        <w:t>(M. K. Jain)</w:t>
      </w:r>
    </w:p>
    <w:p w:rsidR="008F1299" w:rsidRDefault="008F1299" w:rsidP="008F1299">
      <w:r>
        <w:t xml:space="preserve">Reference link: </w:t>
      </w:r>
      <w:hyperlink r:id="rId23" w:history="1">
        <w:r>
          <w:rPr>
            <w:rStyle w:val="Hyperlink"/>
          </w:rPr>
          <w:t>https://www.rbi.org.in/Scripts/NotificationUser.aspx?Id=12192&amp;Mode=0</w:t>
        </w:r>
      </w:hyperlink>
    </w:p>
    <w:p w:rsidR="008F1299" w:rsidRDefault="008F1299" w:rsidP="008F1299"/>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Master Circular - Guarantees and Co-acceptances</w:t>
      </w:r>
    </w:p>
    <w:p w:rsidR="008F1299" w:rsidRDefault="008F1299" w:rsidP="008F1299">
      <w:r>
        <w:t>RBI/2021-22/121</w:t>
      </w:r>
      <w:r>
        <w:br/>
        <w:t>DOR.STR.REC.66/13.07.010/2021-22</w:t>
      </w:r>
    </w:p>
    <w:p w:rsidR="008F1299" w:rsidRDefault="008F1299" w:rsidP="008F1299">
      <w:r>
        <w:t>November 9, 2021</w:t>
      </w:r>
    </w:p>
    <w:p w:rsidR="008F1299" w:rsidRDefault="008F1299" w:rsidP="008F1299">
      <w:pPr>
        <w:rPr>
          <w:b/>
          <w:bCs/>
        </w:rPr>
      </w:pPr>
      <w:r>
        <w:rPr>
          <w:b/>
          <w:bCs/>
        </w:rPr>
        <w:t>All Scheduled Commercial Banks</w:t>
      </w:r>
      <w:r>
        <w:rPr>
          <w:b/>
          <w:bCs/>
        </w:rPr>
        <w:br/>
        <w:t>(excluding Payments Banks and RRBs)</w:t>
      </w:r>
    </w:p>
    <w:p w:rsidR="008F1299" w:rsidRDefault="008F1299" w:rsidP="008F1299">
      <w:r>
        <w:t>Dear Sir / Madam</w:t>
      </w:r>
    </w:p>
    <w:p w:rsidR="008F1299" w:rsidRDefault="008F1299" w:rsidP="008F1299">
      <w:pPr>
        <w:rPr>
          <w:b/>
          <w:bCs/>
        </w:rPr>
      </w:pPr>
      <w:r>
        <w:rPr>
          <w:b/>
          <w:bCs/>
        </w:rPr>
        <w:t>Master Circular - Guarantees and Co-acceptances</w:t>
      </w:r>
    </w:p>
    <w:p w:rsidR="008F1299" w:rsidRDefault="008F1299" w:rsidP="008F1299">
      <w:r>
        <w:t>Please refer to the </w:t>
      </w:r>
      <w:hyperlink r:id="rId24" w:tgtFrame="_blank" w:history="1">
        <w:r>
          <w:rPr>
            <w:rStyle w:val="Hyperlink"/>
          </w:rPr>
          <w:t>Master Circular DBR.No.Dir.BC.11/13.03.00/2015-16 dated July 1, 2015</w:t>
        </w:r>
      </w:hyperlink>
      <w:r>
        <w:t> consolidating the instructions / guidelines issued to banks till June 30, 2015, relating to Guarantees and Co-acceptances. This </w:t>
      </w:r>
      <w:hyperlink r:id="rId25" w:anchor="MC" w:history="1">
        <w:r>
          <w:rPr>
            <w:rStyle w:val="Hyperlink"/>
          </w:rPr>
          <w:t>Master Circular</w:t>
        </w:r>
      </w:hyperlink>
      <w:r>
        <w:t> consolidates the instructions on the above matter issued up to November 8, 2021.</w:t>
      </w:r>
    </w:p>
    <w:p w:rsidR="008F1299" w:rsidRDefault="008F1299" w:rsidP="008F1299">
      <w:r>
        <w:t>Yours faithfully</w:t>
      </w:r>
    </w:p>
    <w:p w:rsidR="008F1299" w:rsidRDefault="008F1299" w:rsidP="008F1299">
      <w:proofErr w:type="spellStart"/>
      <w:r>
        <w:t>Manoranjan</w:t>
      </w:r>
      <w:proofErr w:type="spellEnd"/>
      <w:r>
        <w:t xml:space="preserve"> Mishra</w:t>
      </w:r>
      <w:r>
        <w:br/>
        <w:t>Chief General Manager</w:t>
      </w:r>
    </w:p>
    <w:p w:rsidR="008F1299" w:rsidRDefault="008F1299" w:rsidP="008F1299">
      <w:r>
        <w:t xml:space="preserve">Reference link: </w:t>
      </w:r>
      <w:hyperlink r:id="rId26" w:history="1">
        <w:r>
          <w:rPr>
            <w:rStyle w:val="Hyperlink"/>
          </w:rPr>
          <w:t>https://www.rbi.org.in/Scripts/NotificationUser.aspx?Id=12189&amp;Mode=0</w:t>
        </w:r>
      </w:hyperlink>
    </w:p>
    <w:p w:rsidR="008F1299" w:rsidRDefault="008F1299" w:rsidP="008F1299"/>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Master Circular- Guarantees, Co-Acceptances &amp; Letters of Credit – UCBs</w:t>
      </w:r>
    </w:p>
    <w:p w:rsidR="008F1299" w:rsidRDefault="008F1299" w:rsidP="008F1299">
      <w:r>
        <w:t>RBI/2021-22/119</w:t>
      </w:r>
      <w:r>
        <w:br/>
        <w:t>DoR.STR.REC.65/09.27.000/2021-22</w:t>
      </w:r>
    </w:p>
    <w:p w:rsidR="008F1299" w:rsidRDefault="008F1299" w:rsidP="008F1299">
      <w:r>
        <w:t>November 02, 2021</w:t>
      </w:r>
    </w:p>
    <w:p w:rsidR="008F1299" w:rsidRDefault="008F1299" w:rsidP="008F1299">
      <w:r>
        <w:t>The Managing Director/ Chief Executive Officers</w:t>
      </w:r>
      <w:r>
        <w:br/>
        <w:t>All Primary (Urban) Co-operative Banks</w:t>
      </w:r>
    </w:p>
    <w:p w:rsidR="008F1299" w:rsidRDefault="008F1299" w:rsidP="008F1299">
      <w:r>
        <w:t>Dear Sir/ Madam,</w:t>
      </w:r>
    </w:p>
    <w:p w:rsidR="008F1299" w:rsidRDefault="008F1299" w:rsidP="008F1299">
      <w:pPr>
        <w:rPr>
          <w:b/>
          <w:bCs/>
        </w:rPr>
      </w:pPr>
      <w:r>
        <w:rPr>
          <w:b/>
          <w:bCs/>
        </w:rPr>
        <w:t>Master Circular- Guarantees, Co-Acceptances &amp; Letters of Credit - UCBs</w:t>
      </w:r>
    </w:p>
    <w:p w:rsidR="008F1299" w:rsidRDefault="008F1299" w:rsidP="008F1299">
      <w:r>
        <w:t>Please refer to our </w:t>
      </w:r>
      <w:hyperlink r:id="rId27" w:tgtFrame="_blank" w:history="1">
        <w:r>
          <w:rPr>
            <w:rStyle w:val="Hyperlink"/>
          </w:rPr>
          <w:t>Master Circular DCBR. BPD (PCB) MC. No.8/09.27.000/2015-16 dated July 1, 2015</w:t>
        </w:r>
      </w:hyperlink>
      <w:r>
        <w:t> on the captioned subject (available at RBI website </w:t>
      </w:r>
      <w:hyperlink r:id="rId28" w:tgtFrame="_blank" w:history="1">
        <w:r>
          <w:rPr>
            <w:rStyle w:val="Hyperlink"/>
          </w:rPr>
          <w:t>https://rbi.org.in/</w:t>
        </w:r>
      </w:hyperlink>
      <w:r>
        <w:t>). The enclosed </w:t>
      </w:r>
      <w:hyperlink r:id="rId29" w:anchor="MC1" w:history="1">
        <w:r>
          <w:rPr>
            <w:rStyle w:val="Hyperlink"/>
          </w:rPr>
          <w:t>Master Circular</w:t>
        </w:r>
      </w:hyperlink>
      <w:r>
        <w:t> consolidates and updates all the instructions / guidelines on the subject issued up to November 1, 2021 as listed in the </w:t>
      </w:r>
      <w:hyperlink r:id="rId30" w:anchor="ANNEX" w:history="1">
        <w:r>
          <w:rPr>
            <w:rStyle w:val="Hyperlink"/>
          </w:rPr>
          <w:t>Annex</w:t>
        </w:r>
      </w:hyperlink>
      <w:r>
        <w:t>.</w:t>
      </w:r>
    </w:p>
    <w:p w:rsidR="008F1299" w:rsidRDefault="008F1299" w:rsidP="008F1299">
      <w:r>
        <w:t>Yours faithfully</w:t>
      </w:r>
    </w:p>
    <w:p w:rsidR="008F1299" w:rsidRDefault="008F1299" w:rsidP="008F1299">
      <w:r>
        <w:t>(</w:t>
      </w:r>
      <w:proofErr w:type="spellStart"/>
      <w:r>
        <w:t>Manoranjan</w:t>
      </w:r>
      <w:proofErr w:type="spellEnd"/>
      <w:r>
        <w:t xml:space="preserve"> Mishra)</w:t>
      </w:r>
      <w:r>
        <w:br/>
        <w:t>Chief General Manager</w:t>
      </w:r>
    </w:p>
    <w:p w:rsidR="008F1299" w:rsidRDefault="008F1299" w:rsidP="008F1299">
      <w:r>
        <w:t xml:space="preserve">Reference link: </w:t>
      </w:r>
      <w:hyperlink r:id="rId31" w:history="1">
        <w:r>
          <w:rPr>
            <w:rStyle w:val="Hyperlink"/>
          </w:rPr>
          <w:t>https://www.rbi.org.in/Scripts/NotificationUser.aspx?Id=12187&amp;Mode=0</w:t>
        </w:r>
      </w:hyperlink>
    </w:p>
    <w:p w:rsidR="008F1299" w:rsidRDefault="008F1299" w:rsidP="008F1299">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Prompt Corrective Action (PCA) Framework for Scheduled Commercial Banks</w:t>
      </w:r>
    </w:p>
    <w:p w:rsidR="008F1299" w:rsidRDefault="008F1299" w:rsidP="008F1299">
      <w:r>
        <w:t>RBI/2021-22/118</w:t>
      </w:r>
      <w:r>
        <w:br/>
        <w:t>DOS.CO.PPG.SEC.No.4/11.01.005/2021-22</w:t>
      </w:r>
    </w:p>
    <w:p w:rsidR="008F1299" w:rsidRDefault="008F1299" w:rsidP="008F1299">
      <w:r>
        <w:t>November 02, 2021</w:t>
      </w:r>
    </w:p>
    <w:p w:rsidR="008F1299" w:rsidRDefault="008F1299" w:rsidP="008F1299">
      <w:r>
        <w:t>All Scheduled Commercial Banks</w:t>
      </w:r>
      <w:r>
        <w:br/>
        <w:t>(Excluding Small Finance Banks, Payment Banks and Regional Rural Banks)</w:t>
      </w:r>
    </w:p>
    <w:p w:rsidR="008F1299" w:rsidRDefault="008F1299" w:rsidP="008F1299">
      <w:r>
        <w:t>Madam/ Dear Sir,</w:t>
      </w:r>
    </w:p>
    <w:p w:rsidR="008F1299" w:rsidRDefault="008F1299" w:rsidP="008F1299">
      <w:pPr>
        <w:rPr>
          <w:b/>
          <w:bCs/>
        </w:rPr>
      </w:pPr>
      <w:r>
        <w:rPr>
          <w:b/>
          <w:bCs/>
          <w:u w:val="single"/>
        </w:rPr>
        <w:t>Prompt Corrective Action (PCA) Framework for Scheduled Commercial Banks</w:t>
      </w:r>
    </w:p>
    <w:p w:rsidR="008F1299" w:rsidRDefault="008F1299" w:rsidP="008F1299">
      <w:r>
        <w:t>Please refer to the </w:t>
      </w:r>
      <w:hyperlink r:id="rId32" w:tgtFrame="_blank" w:history="1">
        <w:r>
          <w:rPr>
            <w:rStyle w:val="Hyperlink"/>
          </w:rPr>
          <w:t>circular No. DBS.CO.PPD.BC.No.8/11.01.005/2016-17 dated April 13, 2017</w:t>
        </w:r>
      </w:hyperlink>
      <w:r>
        <w:t> on the Revised Prompt Corrective Action (PCA) Framework for Scheduled Commercial Banks (SCBs).</w:t>
      </w:r>
    </w:p>
    <w:p w:rsidR="008F1299" w:rsidRDefault="008F1299" w:rsidP="008F1299">
      <w:r>
        <w:t>2. The existing PCA Framework for SCBs has since been reviewed and revised. The revised Framework is provided in the </w:t>
      </w:r>
      <w:hyperlink r:id="rId33" w:anchor="AN_1" w:history="1">
        <w:r>
          <w:rPr>
            <w:rStyle w:val="Hyperlink"/>
          </w:rPr>
          <w:t>Annex</w:t>
        </w:r>
      </w:hyperlink>
      <w:r>
        <w:t>.</w:t>
      </w:r>
    </w:p>
    <w:p w:rsidR="008F1299" w:rsidRDefault="008F1299" w:rsidP="008F1299">
      <w:r>
        <w:t>3. The provisions of the revised PCA Framework will be effective from January 1, 2022.</w:t>
      </w:r>
    </w:p>
    <w:p w:rsidR="008F1299" w:rsidRDefault="008F1299" w:rsidP="008F1299">
      <w:r>
        <w:t>4.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rsidR="008F1299" w:rsidRDefault="008F1299" w:rsidP="008F1299">
      <w:r>
        <w:t>5. The contents of the circular may be brought to the attention of the bank’s Board of Directors.</w:t>
      </w:r>
    </w:p>
    <w:p w:rsidR="008F1299" w:rsidRDefault="008F1299" w:rsidP="008F1299">
      <w:r>
        <w:t>Yours faithfully</w:t>
      </w:r>
    </w:p>
    <w:p w:rsidR="008F1299" w:rsidRDefault="008F1299" w:rsidP="008F1299">
      <w:pPr>
        <w:rPr>
          <w:b/>
          <w:bCs/>
        </w:rPr>
      </w:pPr>
      <w:r>
        <w:rPr>
          <w:b/>
          <w:bCs/>
        </w:rPr>
        <w:t xml:space="preserve">(Ajay Kumar </w:t>
      </w:r>
      <w:proofErr w:type="spellStart"/>
      <w:r>
        <w:rPr>
          <w:b/>
          <w:bCs/>
        </w:rPr>
        <w:t>Choudhary</w:t>
      </w:r>
      <w:proofErr w:type="spellEnd"/>
      <w:r>
        <w:rPr>
          <w:b/>
          <w:bCs/>
        </w:rPr>
        <w:t>)</w:t>
      </w:r>
      <w:r>
        <w:rPr>
          <w:b/>
          <w:bCs/>
        </w:rPr>
        <w:br/>
        <w:t>Chief General Manager In-Charge</w:t>
      </w:r>
    </w:p>
    <w:p w:rsidR="008F1299" w:rsidRDefault="008F1299" w:rsidP="008F1299">
      <w:r>
        <w:t>Enclosure: PCA Framework for Scheduled Commercial Banks</w:t>
      </w:r>
    </w:p>
    <w:p w:rsidR="008F1299" w:rsidRDefault="008F1299" w:rsidP="008F1299">
      <w:r>
        <w:t xml:space="preserve">Reference link: </w:t>
      </w:r>
      <w:hyperlink r:id="rId34" w:history="1">
        <w:r>
          <w:rPr>
            <w:rStyle w:val="Hyperlink"/>
          </w:rPr>
          <w:t>https://www.rbi.org.in/Scripts/NotificationUser.aspx?Id=12186&amp;Mode=0</w:t>
        </w:r>
      </w:hyperlink>
    </w:p>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Master Circular- Income Recognition, Asset Classification, Provisioning and Other Related Matters – UCBs</w:t>
      </w:r>
    </w:p>
    <w:p w:rsidR="008F1299" w:rsidRDefault="008F1299" w:rsidP="008F1299">
      <w:r>
        <w:t>RBI/2021-22/117</w:t>
      </w:r>
      <w:r>
        <w:br/>
        <w:t>DOR.No.STR.REC.64/21.04.048/2021-22</w:t>
      </w:r>
    </w:p>
    <w:p w:rsidR="008F1299" w:rsidRDefault="008F1299" w:rsidP="008F1299">
      <w:r>
        <w:t>November 1, 2021</w:t>
      </w:r>
    </w:p>
    <w:p w:rsidR="008F1299" w:rsidRDefault="008F1299" w:rsidP="008F1299">
      <w:r>
        <w:t>The Chief Executive Officers</w:t>
      </w:r>
      <w:r>
        <w:br/>
        <w:t>All Primary (Urban) Co-operative Banks</w:t>
      </w:r>
    </w:p>
    <w:p w:rsidR="008F1299" w:rsidRDefault="008F1299" w:rsidP="008F1299">
      <w:r>
        <w:t>Madam / Dear Sir,</w:t>
      </w:r>
    </w:p>
    <w:p w:rsidR="008F1299" w:rsidRDefault="008F1299" w:rsidP="008F1299">
      <w:r>
        <w:t>Master Circular- Income Recognition, Asset Classification, Provisioning and Other Related Matters - UCBs</w:t>
      </w:r>
    </w:p>
    <w:p w:rsidR="008F1299" w:rsidRDefault="008F1299" w:rsidP="008F1299">
      <w:r>
        <w:t>Please refer to our </w:t>
      </w:r>
      <w:hyperlink r:id="rId35" w:tgtFrame="_blank" w:history="1">
        <w:r>
          <w:rPr>
            <w:rStyle w:val="Hyperlink"/>
          </w:rPr>
          <w:t>Master Circular DCBR.BPD. (PCB) MC No.12/09.14.000/2015-16 dated July 1, 2015</w:t>
        </w:r>
      </w:hyperlink>
      <w:r>
        <w:t> on the captioned subject. The enclosed </w:t>
      </w:r>
      <w:hyperlink r:id="rId36" w:anchor="MC" w:history="1">
        <w:r>
          <w:rPr>
            <w:rStyle w:val="Hyperlink"/>
          </w:rPr>
          <w:t>Master Circular</w:t>
        </w:r>
      </w:hyperlink>
      <w:r>
        <w:t> consolidates and updates all the instructions / guidelines on the subject issued up to October 31, 2021 as listed in the </w:t>
      </w:r>
      <w:hyperlink r:id="rId37" w:anchor="ANNEX_9" w:history="1">
        <w:r>
          <w:rPr>
            <w:rStyle w:val="Hyperlink"/>
          </w:rPr>
          <w:t>Annex 9</w:t>
        </w:r>
      </w:hyperlink>
      <w:r>
        <w:t>.</w:t>
      </w:r>
    </w:p>
    <w:p w:rsidR="008F1299" w:rsidRDefault="008F1299" w:rsidP="008F1299">
      <w:r>
        <w:t>Yours faithfully</w:t>
      </w:r>
    </w:p>
    <w:p w:rsidR="008F1299" w:rsidRDefault="008F1299" w:rsidP="008F1299">
      <w:r>
        <w:t>(</w:t>
      </w:r>
      <w:proofErr w:type="spellStart"/>
      <w:r>
        <w:t>Manoranjan</w:t>
      </w:r>
      <w:proofErr w:type="spellEnd"/>
      <w:r>
        <w:t xml:space="preserve"> Mishra)</w:t>
      </w:r>
      <w:r>
        <w:br/>
        <w:t>Chief General Manager</w:t>
      </w:r>
    </w:p>
    <w:p w:rsidR="008F1299" w:rsidRDefault="008F1299" w:rsidP="008F1299">
      <w:proofErr w:type="spellStart"/>
      <w:r>
        <w:t>Encl</w:t>
      </w:r>
      <w:proofErr w:type="spellEnd"/>
      <w:r>
        <w:t>: As above</w:t>
      </w:r>
    </w:p>
    <w:p w:rsidR="008F1299" w:rsidRDefault="008F1299" w:rsidP="008F1299">
      <w:r>
        <w:t xml:space="preserve">Reference link: </w:t>
      </w:r>
      <w:hyperlink r:id="rId38" w:history="1">
        <w:r>
          <w:rPr>
            <w:rStyle w:val="Hyperlink"/>
          </w:rPr>
          <w:t>https://www.rbi.org.in/Scripts/NotificationUser.aspx?Id=12185&amp;Mode=0</w:t>
        </w:r>
      </w:hyperlink>
    </w:p>
    <w:p w:rsidR="008F1299" w:rsidRDefault="008F1299" w:rsidP="008F1299"/>
    <w:p w:rsidR="008F1299" w:rsidRDefault="008F1299" w:rsidP="008F1299">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Opening of Current Accounts by Banks - Need for Discipline</w:t>
      </w:r>
    </w:p>
    <w:p w:rsidR="008F1299" w:rsidRDefault="008F1299" w:rsidP="008F1299">
      <w:r>
        <w:t>RBI/2021-22/116</w:t>
      </w:r>
      <w:r>
        <w:br/>
        <w:t>DOR.CRE.REC.63/21.04.048/2021-22</w:t>
      </w:r>
    </w:p>
    <w:p w:rsidR="008F1299" w:rsidRDefault="008F1299" w:rsidP="008F1299">
      <w:r>
        <w:t>October 29, 2021</w:t>
      </w:r>
    </w:p>
    <w:p w:rsidR="008F1299" w:rsidRDefault="008F1299" w:rsidP="008F1299">
      <w:r>
        <w:t>All Scheduled Commercial Banks</w:t>
      </w:r>
      <w:r>
        <w:br/>
        <w:t>All Payments Banks</w:t>
      </w:r>
    </w:p>
    <w:p w:rsidR="008F1299" w:rsidRDefault="008F1299" w:rsidP="008F1299">
      <w:r>
        <w:t>Madam/Sir,</w:t>
      </w:r>
    </w:p>
    <w:p w:rsidR="008F1299" w:rsidRDefault="008F1299" w:rsidP="008F1299">
      <w:pPr>
        <w:rPr>
          <w:b/>
          <w:bCs/>
        </w:rPr>
      </w:pPr>
      <w:r>
        <w:rPr>
          <w:b/>
          <w:bCs/>
        </w:rPr>
        <w:t>Opening of Current Accounts by Banks - Need for Discipline</w:t>
      </w:r>
    </w:p>
    <w:p w:rsidR="008F1299" w:rsidRDefault="008F1299" w:rsidP="008F1299">
      <w:r>
        <w:t>Please refer to our </w:t>
      </w:r>
      <w:hyperlink r:id="rId39" w:tgtFrame="_blank" w:history="1">
        <w:r>
          <w:rPr>
            <w:rStyle w:val="Hyperlink"/>
          </w:rPr>
          <w:t xml:space="preserve">circular </w:t>
        </w:r>
        <w:proofErr w:type="spellStart"/>
        <w:r>
          <w:rPr>
            <w:rStyle w:val="Hyperlink"/>
          </w:rPr>
          <w:t>DOR.No.BP.BC</w:t>
        </w:r>
        <w:proofErr w:type="spellEnd"/>
        <w:r>
          <w:rPr>
            <w:rStyle w:val="Hyperlink"/>
          </w:rPr>
          <w:t>/7/21.04.048/2020-21 dated August 6, 2020</w:t>
        </w:r>
      </w:hyperlink>
      <w:r>
        <w:t> on the captioned subject and associated circulars thereon</w:t>
      </w:r>
      <w:hyperlink r:id="rId40" w:anchor="F1" w:history="1">
        <w:r>
          <w:rPr>
            <w:rStyle w:val="Hyperlink"/>
            <w:vertAlign w:val="superscript"/>
          </w:rPr>
          <w:t>1</w:t>
        </w:r>
      </w:hyperlink>
      <w:r>
        <w:t>.</w:t>
      </w:r>
    </w:p>
    <w:p w:rsidR="008F1299" w:rsidRDefault="008F1299" w:rsidP="008F1299">
      <w:r>
        <w:t>2. On a review and taking into account feedback received from Indian Banks’ Association (IBA) and other stakeholders, it has been decided that banks may open current accounts for borrowers who have availed credit facilities in the form of cash credit (CC)/ overdraft (OD) from the banking system as per the provisions below:</w:t>
      </w:r>
    </w:p>
    <w:p w:rsidR="008F1299" w:rsidRDefault="008F1299" w:rsidP="008F1299">
      <w:r>
        <w:t>(</w:t>
      </w:r>
      <w:proofErr w:type="spellStart"/>
      <w:r>
        <w:t>i</w:t>
      </w:r>
      <w:proofErr w:type="spellEnd"/>
      <w:r>
        <w:t xml:space="preserve">) For borrowers, where the exposure of the banking system is less than ₹5 </w:t>
      </w:r>
      <w:proofErr w:type="gramStart"/>
      <w:r>
        <w:t>crore</w:t>
      </w:r>
      <w:proofErr w:type="gramEnd"/>
      <w:r>
        <w:t>, there is no restriction on opening of current accounts or on provision of CC/OD facility by banks, subject to obtaining an undertaking from such borrowers that they shall inform the bank(s), as and when the credit facilities availed by them from the banking system reaches ₹5 crore or more.</w:t>
      </w:r>
    </w:p>
    <w:p w:rsidR="008F1299" w:rsidRDefault="008F1299" w:rsidP="008F1299">
      <w:r>
        <w:t>(ii) In respect of borrowers where exposure of the banking system is ₹5 crore or more, such borrower can maintain current accounts with any one of the banks with which it has CC/OD facility, provided that the bank has at least 10 per cent of the exposure of the banking system to that borrower.</w:t>
      </w:r>
    </w:p>
    <w:p w:rsidR="008F1299" w:rsidRDefault="008F1299" w:rsidP="008F1299"/>
    <w:p w:rsidR="008F1299" w:rsidRDefault="008F1299" w:rsidP="008F1299">
      <w:r>
        <w:t>Further details of the circular can be accessed in the below link</w:t>
      </w:r>
    </w:p>
    <w:p w:rsidR="008F1299" w:rsidRDefault="008F1299" w:rsidP="008F1299">
      <w:r>
        <w:t xml:space="preserve">Reference link: </w:t>
      </w:r>
      <w:hyperlink r:id="rId41" w:history="1">
        <w:r>
          <w:rPr>
            <w:rStyle w:val="Hyperlink"/>
          </w:rPr>
          <w:t>https://www.rbi.org.in/Scripts/NotificationUser.aspx?Id=12184&amp;Mode=0</w:t>
        </w:r>
      </w:hyperlink>
    </w:p>
    <w:p w:rsidR="008F1299" w:rsidRDefault="008F1299" w:rsidP="008F1299"/>
    <w:p w:rsidR="008F1299" w:rsidRDefault="008F1299" w:rsidP="008F1299">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Gold Monetization Scheme (GMS), 2015</w:t>
      </w:r>
    </w:p>
    <w:p w:rsidR="008F1299" w:rsidRDefault="008F1299" w:rsidP="008F1299">
      <w:r>
        <w:t>RBI/2021-22/115</w:t>
      </w:r>
      <w:r>
        <w:br/>
        <w:t>DoR.AUT.REC.62/23.67.001/2021-22</w:t>
      </w:r>
    </w:p>
    <w:p w:rsidR="008F1299" w:rsidRDefault="008F1299" w:rsidP="008F1299">
      <w:r>
        <w:t>October 28, 2021</w:t>
      </w:r>
    </w:p>
    <w:p w:rsidR="008F1299" w:rsidRDefault="008F1299" w:rsidP="008F1299">
      <w:r>
        <w:t>All Scheduled Commercial Banks</w:t>
      </w:r>
      <w:r>
        <w:br/>
        <w:t>(excluding Regional Rural Banks)</w:t>
      </w:r>
    </w:p>
    <w:p w:rsidR="008F1299" w:rsidRDefault="008F1299" w:rsidP="008F1299">
      <w:r>
        <w:t>Dear Sir/Madam</w:t>
      </w:r>
    </w:p>
    <w:p w:rsidR="008F1299" w:rsidRDefault="008F1299" w:rsidP="008F1299">
      <w:pPr>
        <w:rPr>
          <w:b/>
          <w:bCs/>
        </w:rPr>
      </w:pPr>
      <w:r>
        <w:rPr>
          <w:b/>
          <w:bCs/>
        </w:rPr>
        <w:t>Gold Monetization Scheme (GMS), 2015</w:t>
      </w:r>
    </w:p>
    <w:p w:rsidR="008F1299" w:rsidRDefault="008F1299" w:rsidP="008F1299">
      <w:r>
        <w:t>In exercise of the powers conferred on the Reserve Bank of India under Section 35A of the Banking Regulation Act, 1949, the RBI makes the following amendments in the Reserve Bank of India (Gold Monetization Scheme, 2015) </w:t>
      </w:r>
      <w:hyperlink r:id="rId42" w:tgtFrame="_blank" w:history="1">
        <w:r>
          <w:rPr>
            <w:rStyle w:val="Hyperlink"/>
          </w:rPr>
          <w:t>Master Direction No.DBR.IBD.No.45/23.67.003/2015-16 dated October 22, 2015</w:t>
        </w:r>
      </w:hyperlink>
      <w:r>
        <w:t>, with immediate effect.</w:t>
      </w:r>
    </w:p>
    <w:p w:rsidR="008F1299" w:rsidRDefault="008F1299" w:rsidP="008F1299">
      <w:r>
        <w:t>2. A new sub-paragraph 2.2.2 (f) has been inserted to read as follows:</w:t>
      </w:r>
    </w:p>
    <w:p w:rsidR="008F1299" w:rsidRDefault="008F1299" w:rsidP="008F1299">
      <w:r>
        <w:t>2.2.2 (f) Interest on premature closure of the deposit in case of death of depositor before and after lock-in period</w:t>
      </w:r>
    </w:p>
    <w:p w:rsidR="008F1299" w:rsidRDefault="008F1299" w:rsidP="008F1299">
      <w:r>
        <w:t>The amount payable to the depositor shall be calculated as a sum of </w:t>
      </w:r>
      <w:r>
        <w:rPr>
          <w:b/>
          <w:bCs/>
        </w:rPr>
        <w:t>(A) and (B)</w:t>
      </w:r>
      <w:r>
        <w:t>, as indicated below:</w:t>
      </w:r>
    </w:p>
    <w:p w:rsidR="008F1299" w:rsidRDefault="008F1299" w:rsidP="008F1299">
      <w:r>
        <w:t>(A) Actual market value of the gold deposit on the day of withdrawal.</w:t>
      </w:r>
    </w:p>
    <w:p w:rsidR="008F1299" w:rsidRDefault="008F1299" w:rsidP="008F1299">
      <w:r>
        <w:t>(B) Interest payable on the value of the gold for the period of deposit at the applicable rate.</w:t>
      </w:r>
    </w:p>
    <w:p w:rsidR="008F1299" w:rsidRDefault="008F1299" w:rsidP="008F1299">
      <w:r>
        <w:t>3. A new sub-paragraph 2.2.2 (g) has been inserted to read as follows:</w:t>
      </w:r>
    </w:p>
    <w:p w:rsidR="008F1299" w:rsidRDefault="008F1299" w:rsidP="008F1299">
      <w:r>
        <w:t>2.2.2 (g) Interest on premature closure of the deposit due to default of loan taken against MLTGD before and after lock-in period</w:t>
      </w:r>
    </w:p>
    <w:p w:rsidR="008F1299" w:rsidRDefault="008F1299" w:rsidP="008F1299">
      <w:r>
        <w:t>The amount payable to the depositor shall be calculated as a sum of </w:t>
      </w:r>
      <w:r>
        <w:rPr>
          <w:b/>
          <w:bCs/>
        </w:rPr>
        <w:t>(A) and (B)</w:t>
      </w:r>
      <w:r>
        <w:t>, as indicated below:</w:t>
      </w:r>
    </w:p>
    <w:p w:rsidR="008F1299" w:rsidRDefault="008F1299" w:rsidP="008F1299">
      <w:r>
        <w:t>(A) Actual market value of the gold deposit on the day of withdrawal.</w:t>
      </w:r>
    </w:p>
    <w:p w:rsidR="008F1299" w:rsidRDefault="008F1299" w:rsidP="008F1299">
      <w:r>
        <w:t>(B) Interest payable on the value of the gold for the period of deposit at the applicable rate.</w:t>
      </w:r>
    </w:p>
    <w:p w:rsidR="008F1299" w:rsidRDefault="008F1299" w:rsidP="008F1299">
      <w:r>
        <w:t>4. The Reserve Bank of India </w:t>
      </w:r>
      <w:hyperlink r:id="rId43" w:tgtFrame="_blank" w:history="1">
        <w:r>
          <w:rPr>
            <w:rStyle w:val="Hyperlink"/>
          </w:rPr>
          <w:t>Master Direction No.DBR.IBD.45/23.67.003/2015-16 dated October 22, 2015</w:t>
        </w:r>
      </w:hyperlink>
      <w:r>
        <w:t> on Gold Monetization Scheme, 2015 has been updated incorporating the above changes.</w:t>
      </w:r>
    </w:p>
    <w:p w:rsidR="008F1299" w:rsidRDefault="008F1299" w:rsidP="008F1299">
      <w:r>
        <w:t>Yours faithfully</w:t>
      </w:r>
    </w:p>
    <w:p w:rsidR="008F1299" w:rsidRDefault="008F1299" w:rsidP="008F1299">
      <w:r>
        <w:t xml:space="preserve">(Prakash </w:t>
      </w:r>
      <w:proofErr w:type="spellStart"/>
      <w:r>
        <w:t>Baliarsingh</w:t>
      </w:r>
      <w:proofErr w:type="spellEnd"/>
      <w:r>
        <w:t>)</w:t>
      </w:r>
      <w:r>
        <w:br/>
        <w:t>Chief General Manager</w:t>
      </w:r>
    </w:p>
    <w:p w:rsidR="008F1299" w:rsidRDefault="008F1299" w:rsidP="008F1299"/>
    <w:p w:rsidR="008F1299" w:rsidRDefault="008F1299" w:rsidP="008F1299">
      <w:r>
        <w:t>The interest rate applicable will be based on before the lock-in period or after the lock-in period and the type of deposit. These have been detailed out in a tabulated manner in the circular which can be referred to for more details in the link below.</w:t>
      </w:r>
    </w:p>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Sovereign Gold Bond Scheme of the Government of India (</w:t>
      </w:r>
      <w:proofErr w:type="spellStart"/>
      <w:r>
        <w:rPr>
          <w:rFonts w:ascii="Arial" w:hAnsi="Arial" w:cs="Arial"/>
          <w:b/>
          <w:bCs/>
          <w:color w:val="000000"/>
          <w:sz w:val="20"/>
          <w:szCs w:val="20"/>
        </w:rPr>
        <w:t>GoI</w:t>
      </w:r>
      <w:proofErr w:type="spellEnd"/>
      <w:r>
        <w:rPr>
          <w:rFonts w:ascii="Arial" w:hAnsi="Arial" w:cs="Arial"/>
          <w:b/>
          <w:bCs/>
          <w:color w:val="000000"/>
          <w:sz w:val="20"/>
          <w:szCs w:val="20"/>
        </w:rPr>
        <w:t>) - Procedural Guidelines – Consolidated</w:t>
      </w:r>
    </w:p>
    <w:p w:rsidR="008F1299" w:rsidRDefault="008F1299" w:rsidP="008F1299">
      <w:r>
        <w:t>RBI/2021-2022/114</w:t>
      </w:r>
      <w:r>
        <w:br/>
        <w:t>IDMD.CDD.1100/14.04.050/2021-22</w:t>
      </w:r>
    </w:p>
    <w:p w:rsidR="008F1299" w:rsidRDefault="008F1299" w:rsidP="008F1299">
      <w:r>
        <w:t>October 22, 2021</w:t>
      </w:r>
    </w:p>
    <w:p w:rsidR="008F1299" w:rsidRDefault="008F1299" w:rsidP="008F1299">
      <w:r>
        <w:t>All Scheduled Commercial Banks (Excluding RRBs)</w:t>
      </w:r>
      <w:r>
        <w:br/>
        <w:t>Designated Post Offices</w:t>
      </w:r>
      <w:r>
        <w:br/>
        <w:t>Stock Holding Corporation of India Ltd. (SHCIL)</w:t>
      </w:r>
      <w:r>
        <w:br/>
        <w:t>BSE &amp; NSE</w:t>
      </w:r>
      <w:r>
        <w:br/>
        <w:t>Depositories</w:t>
      </w:r>
      <w:r>
        <w:br/>
        <w:t>Clearing Corporation of India Limited</w:t>
      </w:r>
    </w:p>
    <w:p w:rsidR="008F1299" w:rsidRDefault="008F1299" w:rsidP="008F1299">
      <w:r>
        <w:t>Dear Sir/Madam,</w:t>
      </w:r>
    </w:p>
    <w:p w:rsidR="008F1299" w:rsidRDefault="008F1299" w:rsidP="008F1299">
      <w:pPr>
        <w:rPr>
          <w:b/>
          <w:bCs/>
        </w:rPr>
      </w:pPr>
      <w:r>
        <w:rPr>
          <w:b/>
          <w:bCs/>
        </w:rPr>
        <w:t>Sovereign Gold Bond Scheme of the Government of India (</w:t>
      </w:r>
      <w:proofErr w:type="spellStart"/>
      <w:r>
        <w:rPr>
          <w:b/>
          <w:bCs/>
        </w:rPr>
        <w:t>GoI</w:t>
      </w:r>
      <w:proofErr w:type="spellEnd"/>
      <w:r>
        <w:rPr>
          <w:b/>
          <w:bCs/>
        </w:rPr>
        <w:t>) - Procedural Guidelines - Consolidated</w:t>
      </w:r>
    </w:p>
    <w:p w:rsidR="008F1299" w:rsidRDefault="008F1299" w:rsidP="008F1299">
      <w:r>
        <w:t>The </w:t>
      </w:r>
      <w:hyperlink r:id="rId44" w:tgtFrame="_blank" w:history="1">
        <w:r>
          <w:rPr>
            <w:rStyle w:val="Hyperlink"/>
          </w:rPr>
          <w:t>Sovereign Gold Bond (SGB) Scheme was first launched by Government of India (GOI) on October 30, 2015</w:t>
        </w:r>
      </w:hyperlink>
      <w:r>
        <w:t>.</w:t>
      </w:r>
      <w:r>
        <w:rPr>
          <w:b/>
          <w:bCs/>
        </w:rPr>
        <w:t> </w:t>
      </w:r>
      <w:r>
        <w:t>As the “Receiving Offices” (RO), are entrusted with the responsibility of performing certain functions relating to receipt of applications and servicing of the bonds, RBI has also issued operational guidelines from time to time and Procedural Guidelines vide </w:t>
      </w:r>
      <w:hyperlink r:id="rId45" w:tgtFrame="_blank" w:history="1">
        <w:r>
          <w:rPr>
            <w:rStyle w:val="Hyperlink"/>
          </w:rPr>
          <w:t>circular IDMD.CDD.No.1569/14.04.050/2016-17 dated December 23, 2016</w:t>
        </w:r>
      </w:hyperlink>
      <w:r>
        <w:t> for guidance to the Receiving Offices.</w:t>
      </w:r>
    </w:p>
    <w:p w:rsidR="008F1299" w:rsidRDefault="008F1299" w:rsidP="008F1299">
      <w:r>
        <w:t>2. With a view to facilitate availability of all the current operative instructions on the above subject at one place, it has been decided to issue consolidated procedural guidelines. The rules and regulations applicable for servicing of these bonds have been updated with instructions issued till date and are given in </w:t>
      </w:r>
      <w:hyperlink r:id="rId46" w:anchor="ANI" w:history="1">
        <w:r>
          <w:rPr>
            <w:rStyle w:val="Hyperlink"/>
          </w:rPr>
          <w:t>Annex I</w:t>
        </w:r>
      </w:hyperlink>
      <w:r>
        <w:t>. The same will be updated suitably and simultaneously whenever there is a change in the rules/regulations governing the operation of the Scheme.</w:t>
      </w:r>
    </w:p>
    <w:p w:rsidR="008F1299" w:rsidRDefault="008F1299" w:rsidP="008F1299">
      <w:r>
        <w:t>3. This circular supersedes all operational/procedural guidelines issued till date. With the issuance of these instructions, no separate procedural/operational instructions will be issued henceforth. All the Receiving Offices shall be guided by these instructions while dealing with servicing of these bonds.</w:t>
      </w:r>
    </w:p>
    <w:p w:rsidR="008F1299" w:rsidRDefault="008F1299" w:rsidP="008F1299">
      <w:r>
        <w:t>4. These Guidelines are issued in exercise of the powers conferred under Section 29(2) of the GS Act 2006, to the Receiving Offices, BSE/NSE and depositories.</w:t>
      </w:r>
    </w:p>
    <w:p w:rsidR="008F1299" w:rsidRDefault="008F1299" w:rsidP="008F1299">
      <w:r>
        <w:t>Yours faithfully,</w:t>
      </w:r>
    </w:p>
    <w:p w:rsidR="008F1299" w:rsidRDefault="008F1299" w:rsidP="008F1299">
      <w:r>
        <w:t>(</w:t>
      </w:r>
      <w:proofErr w:type="spellStart"/>
      <w:r>
        <w:t>Rajendra</w:t>
      </w:r>
      <w:proofErr w:type="spellEnd"/>
      <w:r>
        <w:t xml:space="preserve"> Kumar)</w:t>
      </w:r>
      <w:r>
        <w:br/>
        <w:t>Chief General Manager</w:t>
      </w:r>
    </w:p>
    <w:p w:rsidR="008F1299" w:rsidRDefault="008F1299" w:rsidP="008F1299">
      <w:proofErr w:type="spellStart"/>
      <w:r>
        <w:t>Encl</w:t>
      </w:r>
      <w:proofErr w:type="spellEnd"/>
      <w:r>
        <w:t>: as above</w:t>
      </w:r>
    </w:p>
    <w:p w:rsidR="008F1299" w:rsidRDefault="008F1299" w:rsidP="008F1299">
      <w:r>
        <w:t xml:space="preserve">Reference link: </w:t>
      </w:r>
      <w:hyperlink r:id="rId47" w:history="1">
        <w:r>
          <w:rPr>
            <w:rStyle w:val="Hyperlink"/>
          </w:rPr>
          <w:t>https://www.rbi.org.in/Scripts/NotificationUser.aspx?Id=12181&amp;Mode=0</w:t>
        </w:r>
      </w:hyperlink>
    </w:p>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w:t>
      </w:r>
    </w:p>
    <w:p w:rsidR="008F1299" w:rsidRDefault="008F1299" w:rsidP="008F1299">
      <w:r>
        <w:t>RBI/2021-22/111</w:t>
      </w:r>
      <w:r>
        <w:br/>
        <w:t>DoR.FIN.REC.59/20.16.056/2021-22</w:t>
      </w:r>
    </w:p>
    <w:p w:rsidR="008F1299" w:rsidRDefault="008F1299" w:rsidP="008F1299">
      <w:r>
        <w:t>October 14, 2021</w:t>
      </w:r>
    </w:p>
    <w:p w:rsidR="008F1299" w:rsidRDefault="008F1299" w:rsidP="008F1299">
      <w:r>
        <w:t>All Commercial Banks (including Small Finance Banks, Local Area Banks and Regional Rural Banks)</w:t>
      </w:r>
      <w:r>
        <w:br/>
        <w:t>All Primary (Urban) Co-operative Banks/State Co-operative Banks/ District Central Co-operative Banks</w:t>
      </w:r>
      <w:r>
        <w:br/>
        <w:t>All-India Financial Institutions (Exim Bank, NABARD, NHB and SIDBI)</w:t>
      </w:r>
      <w:r>
        <w:br/>
        <w:t>All Non-Banking Financial Companies (including Housing Finance Companies)</w:t>
      </w:r>
      <w:r>
        <w:br/>
        <w:t>All Credit Information Companies</w:t>
      </w:r>
    </w:p>
    <w:p w:rsidR="008F1299" w:rsidRDefault="008F1299" w:rsidP="008F1299">
      <w:r>
        <w:t>Madam/Dear Sir,</w:t>
      </w:r>
    </w:p>
    <w:p w:rsidR="008F1299" w:rsidRDefault="008F1299" w:rsidP="008F1299">
      <w:pPr>
        <w:rPr>
          <w:b/>
          <w:bCs/>
        </w:rPr>
      </w:pPr>
      <w:r>
        <w:rPr>
          <w:b/>
          <w:bCs/>
        </w:rPr>
        <w:t>Data Format for Furnishing of Credit Information to Credit Information Companies</w:t>
      </w:r>
    </w:p>
    <w:p w:rsidR="008F1299" w:rsidRDefault="008F1299" w:rsidP="008F1299">
      <w:r>
        <w:t>Please refer to our </w:t>
      </w:r>
      <w:hyperlink r:id="rId48" w:tgtFrame="_blank" w:history="1">
        <w:r>
          <w:rPr>
            <w:rStyle w:val="Hyperlink"/>
          </w:rPr>
          <w:t>circular DBOD.No.CID.BC.127/20.16.056/2013-14 dated June 27, 2014</w:t>
        </w:r>
      </w:hyperlink>
      <w:r>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rsidR="008F1299" w:rsidRDefault="008F1299" w:rsidP="008F1299">
      <w:r>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rsidR="008F1299" w:rsidRDefault="008F1299" w:rsidP="008F1299">
      <w:r>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rsidR="008F1299" w:rsidRDefault="008F1299" w:rsidP="008F1299">
      <w:r>
        <w:t>(</w:t>
      </w:r>
      <w:proofErr w:type="spellStart"/>
      <w:r>
        <w:t>i</w:t>
      </w:r>
      <w:proofErr w:type="spellEnd"/>
      <w:r>
        <w:t>) The reporting would be mandatory in respect of new loan accounts opened after July 1, 2022.</w:t>
      </w:r>
    </w:p>
    <w:p w:rsidR="008F1299" w:rsidRDefault="008F1299" w:rsidP="008F1299">
      <w:r>
        <w:t>(ii) A phased approach shall be followed for reporting of legacy data as detailed below:</w:t>
      </w:r>
    </w:p>
    <w:p w:rsidR="008F1299" w:rsidRDefault="008F1299" w:rsidP="008F1299">
      <w:pPr>
        <w:numPr>
          <w:ilvl w:val="0"/>
          <w:numId w:val="2"/>
        </w:numPr>
      </w:pPr>
      <w:r>
        <w:t>The accounts opened during the period (July 1, 2021 to June 30, 2022) have to be updated by January 1, 2023.</w:t>
      </w:r>
    </w:p>
    <w:p w:rsidR="008F1299" w:rsidRDefault="008F1299" w:rsidP="008F1299">
      <w:pPr>
        <w:numPr>
          <w:ilvl w:val="0"/>
          <w:numId w:val="2"/>
        </w:numPr>
      </w:pPr>
      <w:r>
        <w:t>The accounts opened in past three years (July 1, 2018 to June 30, 2021) have to be updated by July 1, 2023.</w:t>
      </w:r>
    </w:p>
    <w:p w:rsidR="008F1299" w:rsidRDefault="008F1299" w:rsidP="008F1299">
      <w:pPr>
        <w:numPr>
          <w:ilvl w:val="0"/>
          <w:numId w:val="2"/>
        </w:numPr>
      </w:pPr>
      <w:r>
        <w:t>A timeline for reporting of the remainder legacy data would be reviewed by the Technical Working Group and the CIs would be advised in due course.</w:t>
      </w:r>
    </w:p>
    <w:p w:rsidR="008F1299" w:rsidRDefault="008F1299" w:rsidP="008F1299">
      <w:r>
        <w:t>4. The CIs are advised to commence reporting the aforesaid information as per the prescribed timelines to CICs.</w:t>
      </w:r>
    </w:p>
    <w:p w:rsidR="008F1299" w:rsidRDefault="008F1299" w:rsidP="008F1299">
      <w:r>
        <w:t>Yours faithfully</w:t>
      </w:r>
    </w:p>
    <w:p w:rsidR="008F1299" w:rsidRDefault="008F1299" w:rsidP="008F1299">
      <w:r>
        <w:lastRenderedPageBreak/>
        <w:t>(Sunil T S Nair)</w:t>
      </w:r>
      <w:r>
        <w:br/>
        <w:t>Chief General Manager</w:t>
      </w:r>
    </w:p>
    <w:p w:rsidR="008F1299" w:rsidRDefault="008F1299" w:rsidP="008F1299">
      <w:r>
        <w:t xml:space="preserve">Reference link: </w:t>
      </w:r>
      <w:hyperlink r:id="rId49" w:history="1">
        <w:r>
          <w:rPr>
            <w:rStyle w:val="Hyperlink"/>
          </w:rPr>
          <w:t>https://www.rbi.org.in/Scripts/NotificationUser.aspx?Id=12178&amp;Mode=0</w:t>
        </w:r>
      </w:hyperlink>
    </w:p>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8F1299" w:rsidRDefault="008F1299" w:rsidP="008F1299">
      <w:r>
        <w:t>RBI/2021-2022/104</w:t>
      </w:r>
      <w:r>
        <w:br/>
        <w:t>DOR.No.STR.REC.55/21.04.048/2021-22</w:t>
      </w:r>
    </w:p>
    <w:p w:rsidR="008F1299" w:rsidRDefault="008F1299" w:rsidP="008F1299">
      <w:r>
        <w:t>October 1, 2021</w:t>
      </w:r>
    </w:p>
    <w:p w:rsidR="008F1299" w:rsidRDefault="008F1299" w:rsidP="008F1299">
      <w:r>
        <w:t>All Commercial Banks (excluding RRBs)</w:t>
      </w:r>
    </w:p>
    <w:p w:rsidR="008F1299" w:rsidRDefault="008F1299" w:rsidP="008F1299">
      <w:r>
        <w:t>Madam/Dear Sir</w:t>
      </w:r>
    </w:p>
    <w:p w:rsidR="008F1299" w:rsidRDefault="008F1299" w:rsidP="008F1299">
      <w:pPr>
        <w:rPr>
          <w:b/>
          <w:bCs/>
        </w:rPr>
      </w:pPr>
      <w:r>
        <w:rPr>
          <w:b/>
          <w:bCs/>
        </w:rPr>
        <w:t>Master Circular - Prudential norms on Income Recognition, Asset Classification and Provisioning pertaining to Advances</w:t>
      </w:r>
    </w:p>
    <w:p w:rsidR="008F1299" w:rsidRDefault="008F1299" w:rsidP="008F1299">
      <w:r>
        <w:t>Please refer to the </w:t>
      </w:r>
      <w:hyperlink r:id="rId50"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8F1299" w:rsidRDefault="008F1299" w:rsidP="008F1299">
      <w:r>
        <w:t>2. This </w:t>
      </w:r>
      <w:hyperlink r:id="rId51" w:anchor="MD" w:history="1">
        <w:r>
          <w:rPr>
            <w:rStyle w:val="Hyperlink"/>
          </w:rPr>
          <w:t>Master Circular</w:t>
        </w:r>
      </w:hyperlink>
      <w:r>
        <w:t> consolidates instructions on the above matters issued as on date. A list of circulars consolidated in this Master Circular is contained in the </w:t>
      </w:r>
      <w:hyperlink r:id="rId52" w:anchor="AN6" w:history="1">
        <w:r>
          <w:rPr>
            <w:rStyle w:val="Hyperlink"/>
          </w:rPr>
          <w:t>Annex 6</w:t>
        </w:r>
      </w:hyperlink>
      <w:r>
        <w:t>.</w:t>
      </w:r>
    </w:p>
    <w:p w:rsidR="008F1299" w:rsidRDefault="008F1299" w:rsidP="008F1299">
      <w:r>
        <w:t>Yours faithfully</w:t>
      </w:r>
    </w:p>
    <w:p w:rsidR="008F1299" w:rsidRDefault="008F1299" w:rsidP="008F1299">
      <w:r>
        <w:t>(</w:t>
      </w:r>
      <w:proofErr w:type="spellStart"/>
      <w:r>
        <w:t>Manoranjan</w:t>
      </w:r>
      <w:proofErr w:type="spellEnd"/>
      <w:r>
        <w:t xml:space="preserve"> Mishra)</w:t>
      </w:r>
      <w:r>
        <w:br/>
        <w:t>Chief General Manager</w:t>
      </w:r>
    </w:p>
    <w:p w:rsidR="008F1299" w:rsidRDefault="008F1299" w:rsidP="008F1299">
      <w:r>
        <w:t>Encl.: As above</w:t>
      </w:r>
    </w:p>
    <w:p w:rsidR="008F1299" w:rsidRDefault="008F1299" w:rsidP="008F1299">
      <w:r>
        <w:t xml:space="preserve">Reference link: </w:t>
      </w:r>
      <w:hyperlink r:id="rId53" w:history="1">
        <w:r>
          <w:rPr>
            <w:rStyle w:val="Hyperlink"/>
          </w:rPr>
          <w:t>https://www.rbi.org.in/Scripts/NotificationUser.aspx?Id=12171&amp;Mode=0</w:t>
        </w:r>
      </w:hyperlink>
    </w:p>
    <w:p w:rsidR="008F1299" w:rsidRDefault="008F1299" w:rsidP="008F1299"/>
    <w:p w:rsidR="008F1299" w:rsidRDefault="008F1299" w:rsidP="008F1299">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8F1299" w:rsidRDefault="008F1299" w:rsidP="008F1299">
      <w:r>
        <w:t>RBI/2021-2022/101</w:t>
      </w:r>
      <w:r>
        <w:br/>
        <w:t>A.P. (DIR Series) Circular No.13</w:t>
      </w:r>
    </w:p>
    <w:p w:rsidR="008F1299" w:rsidRDefault="008F1299" w:rsidP="008F1299">
      <w:r>
        <w:t>September 28, 2021</w:t>
      </w:r>
    </w:p>
    <w:p w:rsidR="008F1299" w:rsidRDefault="008F1299" w:rsidP="008F1299">
      <w:r>
        <w:t>To</w:t>
      </w:r>
    </w:p>
    <w:p w:rsidR="008F1299" w:rsidRDefault="008F1299" w:rsidP="008F1299">
      <w:r>
        <w:t>All Category-I Authorised Dealer Banks</w:t>
      </w:r>
    </w:p>
    <w:p w:rsidR="008F1299" w:rsidRDefault="008F1299" w:rsidP="008F1299">
      <w:pPr>
        <w:rPr>
          <w:b/>
          <w:bCs/>
        </w:rPr>
      </w:pPr>
      <w:r>
        <w:rPr>
          <w:b/>
          <w:bCs/>
        </w:rPr>
        <w:t>Use of any Alternative reference rate in place of LIBOR for interest payable in respect of export / import transactions</w:t>
      </w:r>
    </w:p>
    <w:p w:rsidR="008F1299" w:rsidRDefault="008F1299" w:rsidP="008F1299">
      <w:r>
        <w:t>Attention of Authorised Dealer Category– I banks (AD banks) is invited to extant Regulation 15 of Foreign Exchange Management (Export of Goods &amp; Services) Regulations, 2015 notified vide </w:t>
      </w:r>
      <w:hyperlink r:id="rId54"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8F1299" w:rsidRDefault="008F1299" w:rsidP="008F1299">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55" w:tgtFrame="_blank" w:history="1">
        <w:r>
          <w:rPr>
            <w:rStyle w:val="Hyperlink"/>
          </w:rPr>
          <w:t>Notification No. FEMA 23(R)/(5)/2021-RB dated September 08, 2021</w:t>
        </w:r>
      </w:hyperlink>
      <w:r>
        <w:t> (</w:t>
      </w:r>
      <w:hyperlink r:id="rId56" w:tgtFrame="_blank" w:history="1">
        <w:r>
          <w:rPr>
            <w:rStyle w:val="Hyperlink"/>
          </w:rPr>
          <w:t>copy enclosed</w:t>
        </w:r>
      </w:hyperlink>
      <w:r>
        <w:t>).</w:t>
      </w:r>
    </w:p>
    <w:p w:rsidR="008F1299" w:rsidRDefault="008F1299" w:rsidP="008F1299">
      <w:r>
        <w:t>3. AD banks may bring the contents of this circular to the notice of their constituents concerned.</w:t>
      </w:r>
    </w:p>
    <w:p w:rsidR="008F1299" w:rsidRDefault="008F1299" w:rsidP="008F1299">
      <w:r>
        <w:t>4. The directions contained in this circular have been issued under Section 10(4) and Section 11(1) of the FEMA, 1999 (42 of 1999) and are without prejudice to permissions / approvals, if any, required under any other law.</w:t>
      </w:r>
    </w:p>
    <w:p w:rsidR="008F1299" w:rsidRDefault="008F1299" w:rsidP="008F1299">
      <w:r>
        <w:t>Yours faithfully,</w:t>
      </w:r>
    </w:p>
    <w:p w:rsidR="008F1299" w:rsidRDefault="008F1299" w:rsidP="008F1299">
      <w:r>
        <w:t>(R. S. Amar)</w:t>
      </w:r>
      <w:r>
        <w:br/>
        <w:t>Chief General Manager</w:t>
      </w:r>
    </w:p>
    <w:p w:rsidR="008F1299" w:rsidRDefault="008F1299" w:rsidP="008F1299">
      <w:r>
        <w:t xml:space="preserve">Reference link: </w:t>
      </w:r>
      <w:hyperlink r:id="rId57" w:history="1">
        <w:r>
          <w:rPr>
            <w:rStyle w:val="Hyperlink"/>
          </w:rPr>
          <w:t>https://www.rbi.org.in/Scripts/NotificationUser.aspx?Id=12168&amp;Mode=0</w:t>
        </w:r>
      </w:hyperlink>
    </w:p>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Pr>
        <w:rPr>
          <w:rFonts w:ascii="Arial" w:hAnsi="Arial" w:cs="Arial"/>
          <w:b/>
          <w:bCs/>
          <w:color w:val="000000"/>
          <w:sz w:val="20"/>
          <w:szCs w:val="20"/>
        </w:rPr>
      </w:pPr>
    </w:p>
    <w:p w:rsidR="008F1299" w:rsidRDefault="008F1299" w:rsidP="008F1299">
      <w:pPr>
        <w:rPr>
          <w:rFonts w:ascii="Arial" w:hAnsi="Arial" w:cs="Arial"/>
          <w:b/>
          <w:bCs/>
          <w:color w:val="000000"/>
          <w:sz w:val="20"/>
          <w:szCs w:val="20"/>
        </w:rPr>
      </w:pPr>
      <w:r>
        <w:rPr>
          <w:rFonts w:ascii="Arial" w:hAnsi="Arial" w:cs="Arial"/>
          <w:b/>
          <w:bCs/>
          <w:color w:val="000000"/>
          <w:sz w:val="20"/>
          <w:szCs w:val="20"/>
        </w:rPr>
        <w:t>Master Direction – Reserve Bank of India (Transfer of Loan Exposures) Directions, 2021</w:t>
      </w:r>
    </w:p>
    <w:p w:rsidR="008F1299" w:rsidRDefault="008F1299" w:rsidP="008F1299">
      <w:r>
        <w:t>RBI/DOR/2021-22/86</w:t>
      </w:r>
      <w:r>
        <w:br/>
        <w:t>DOR.STR.REC.51/21.04.048/2021-22</w:t>
      </w:r>
    </w:p>
    <w:p w:rsidR="008F1299" w:rsidRDefault="008F1299" w:rsidP="008F1299">
      <w:r>
        <w:t>September 24, 2021</w:t>
      </w:r>
    </w:p>
    <w:p w:rsidR="008F1299" w:rsidRDefault="008F1299" w:rsidP="008F1299">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8F1299" w:rsidRDefault="008F1299" w:rsidP="008F1299">
      <w:pPr>
        <w:rPr>
          <w:b/>
          <w:bCs/>
        </w:rPr>
      </w:pPr>
      <w:r>
        <w:rPr>
          <w:b/>
          <w:bCs/>
        </w:rPr>
        <w:t>Master Direction – Reserve Bank of India (Transfer of Loan Exposures) Directions, 2021</w:t>
      </w:r>
    </w:p>
    <w:p w:rsidR="008F1299" w:rsidRDefault="008F1299" w:rsidP="008F1299">
      <w:r>
        <w:t>Please refer to the Draft Comprehensive Framework for Sale of Loan Exposures that was released on </w:t>
      </w:r>
      <w:hyperlink r:id="rId58" w:tgtFrame="_blank" w:history="1">
        <w:r>
          <w:rPr>
            <w:rStyle w:val="Hyperlink"/>
          </w:rPr>
          <w:t>June 8, 2020</w:t>
        </w:r>
      </w:hyperlink>
      <w:r>
        <w:t> for comments from various stakeholders.</w:t>
      </w:r>
    </w:p>
    <w:p w:rsidR="008F1299" w:rsidRDefault="008F1299" w:rsidP="008F1299">
      <w:r>
        <w:t>2. Based on the examination of the comments received, the Reserve Bank has issued the Master Direction – Reserve Bank of India (Transfer of Loan Exposures) Directions, 2021, which are </w:t>
      </w:r>
      <w:hyperlink r:id="rId59"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8F1299" w:rsidRDefault="008F1299" w:rsidP="008F1299">
      <w:r>
        <w:t>3. These directions come into immediate effect replacing the existing instructions on the matter of sale / transfer of loan exposures. All lending institutions are advised to take necessary steps to ensure compliance with these directions.</w:t>
      </w:r>
    </w:p>
    <w:p w:rsidR="008F1299" w:rsidRDefault="008F1299" w:rsidP="008F1299">
      <w:r>
        <w:t>Yours faithfully,</w:t>
      </w:r>
    </w:p>
    <w:p w:rsidR="008F1299" w:rsidRDefault="008F1299" w:rsidP="008F1299">
      <w:r>
        <w:t>(</w:t>
      </w:r>
      <w:proofErr w:type="spellStart"/>
      <w:r>
        <w:t>Manoranjan</w:t>
      </w:r>
      <w:proofErr w:type="spellEnd"/>
      <w:r>
        <w:t xml:space="preserve"> Mishra)</w:t>
      </w:r>
      <w:r>
        <w:br/>
        <w:t>Chief General Manager</w:t>
      </w:r>
    </w:p>
    <w:p w:rsidR="008F1299" w:rsidRDefault="008F1299" w:rsidP="008F1299">
      <w:r>
        <w:t xml:space="preserve">Reference link: </w:t>
      </w:r>
      <w:hyperlink r:id="rId60" w:history="1">
        <w:r>
          <w:rPr>
            <w:rStyle w:val="Hyperlink"/>
          </w:rPr>
          <w:t>https://www.rbi.org.in/Scripts/NotificationUser.aspx?Id=12166&amp;Mode=0</w:t>
        </w:r>
      </w:hyperlink>
    </w:p>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 w:rsidR="008F1299" w:rsidRDefault="008F1299" w:rsidP="008F1299">
      <w:pPr>
        <w:rPr>
          <w:rFonts w:ascii="Arial" w:hAnsi="Arial" w:cs="Arial"/>
          <w:b/>
          <w:bCs/>
          <w:color w:val="000000"/>
          <w:sz w:val="20"/>
          <w:szCs w:val="20"/>
        </w:rPr>
      </w:pPr>
    </w:p>
    <w:p w:rsidR="008F1299" w:rsidRDefault="008F1299" w:rsidP="008F1299">
      <w:pPr>
        <w:rPr>
          <w:rFonts w:ascii="Arial" w:hAnsi="Arial" w:cs="Arial"/>
          <w:b/>
          <w:bCs/>
          <w:color w:val="000000"/>
          <w:sz w:val="20"/>
          <w:szCs w:val="20"/>
        </w:rPr>
      </w:pPr>
      <w:r>
        <w:rPr>
          <w:rFonts w:ascii="Arial" w:hAnsi="Arial" w:cs="Arial"/>
          <w:b/>
          <w:bCs/>
          <w:color w:val="000000"/>
          <w:sz w:val="20"/>
          <w:szCs w:val="20"/>
        </w:rPr>
        <w:t>Master Direction – Reserve Bank of India (Securitisation of Standard Assets) Directions, 2021</w:t>
      </w:r>
    </w:p>
    <w:p w:rsidR="008F1299" w:rsidRDefault="008F1299" w:rsidP="008F1299">
      <w:r>
        <w:t>RBI/DOR/2021-22/85</w:t>
      </w:r>
      <w:r>
        <w:br/>
        <w:t>DOR.STR.REC.53/21.04.177/2021-22</w:t>
      </w:r>
    </w:p>
    <w:p w:rsidR="008F1299" w:rsidRDefault="008F1299" w:rsidP="008F1299">
      <w:r>
        <w:t>September 24, 2021</w:t>
      </w:r>
    </w:p>
    <w:p w:rsidR="008F1299" w:rsidRDefault="008F1299" w:rsidP="008F1299">
      <w:r>
        <w:t>All Scheduled Commercial Banks (including Small Finance Banks but excluding Regional Rural Banks);</w:t>
      </w:r>
      <w:r>
        <w:br/>
        <w:t>All All-India Term Financial Institutions (NABARD, NHB, EXIM Bank, and SIDBI);</w:t>
      </w:r>
      <w:r>
        <w:br/>
        <w:t>All Non-Banking Financial Companies (NBFCs) including Housing Finance Companies (HFCs)</w:t>
      </w:r>
    </w:p>
    <w:p w:rsidR="008F1299" w:rsidRDefault="008F1299" w:rsidP="008F1299">
      <w:pPr>
        <w:rPr>
          <w:b/>
          <w:bCs/>
        </w:rPr>
      </w:pPr>
      <w:r>
        <w:rPr>
          <w:b/>
          <w:bCs/>
        </w:rPr>
        <w:t>Master Direction – Reserve Bank of India (Securitisation of Standard Assets) Directions, 2021</w:t>
      </w:r>
    </w:p>
    <w:p w:rsidR="008F1299" w:rsidRDefault="008F1299" w:rsidP="008F1299">
      <w:r>
        <w:t>Please refer to the Draft Framework for Securitisation of Standard Assets that was released on </w:t>
      </w:r>
      <w:hyperlink r:id="rId61" w:tgtFrame="_blank" w:history="1">
        <w:r>
          <w:rPr>
            <w:rStyle w:val="Hyperlink"/>
          </w:rPr>
          <w:t>June 8, 2020</w:t>
        </w:r>
      </w:hyperlink>
      <w:r>
        <w:t> for comments from various stakeholders.</w:t>
      </w:r>
    </w:p>
    <w:p w:rsidR="008F1299" w:rsidRDefault="008F1299" w:rsidP="008F1299">
      <w:r>
        <w:t>2. Based on the examination of the comments received, the Reserve Bank has issued the Master Direction – Reserve Bank of India (Securitisation of Standard Assets) Directions, 2021, which are </w:t>
      </w:r>
      <w:hyperlink r:id="rId62" w:anchor="ANC1" w:history="1">
        <w:r>
          <w:rPr>
            <w:rStyle w:val="Hyperlink"/>
          </w:rPr>
          <w:t>enclosed</w:t>
        </w:r>
      </w:hyperlink>
      <w:r>
        <w:t>. These directions have been issued in exercise of the powers conferred by the Sections 21 and 35A of the Banking Regulation Act, 1949; Chapter IIIB of the Reserve Bank of India Act, 1934; and Sections 30A, 32 and 33 of the National Housing Bank Act, 1987.</w:t>
      </w:r>
    </w:p>
    <w:p w:rsidR="008F1299" w:rsidRDefault="008F1299" w:rsidP="008F1299">
      <w:r>
        <w:t>3. These directions come into immediate effect replacing the existing instructions on the matter of securitisation of standard assets. All lending institutions are advised to take necessary steps to ensure compliance with these directions.</w:t>
      </w:r>
    </w:p>
    <w:p w:rsidR="008F1299" w:rsidRDefault="008F1299" w:rsidP="008F1299">
      <w:r>
        <w:t>Yours faithfully,</w:t>
      </w:r>
    </w:p>
    <w:p w:rsidR="008F1299" w:rsidRDefault="008F1299" w:rsidP="008F1299">
      <w:r>
        <w:t>(</w:t>
      </w:r>
      <w:proofErr w:type="spellStart"/>
      <w:r>
        <w:t>Manoranjan</w:t>
      </w:r>
      <w:proofErr w:type="spellEnd"/>
      <w:r>
        <w:t xml:space="preserve"> Mishra)</w:t>
      </w:r>
      <w:r>
        <w:br/>
        <w:t>Chief General Manager</w:t>
      </w:r>
    </w:p>
    <w:p w:rsidR="008F1299" w:rsidRDefault="008F1299" w:rsidP="008F1299">
      <w:r>
        <w:t xml:space="preserve">Reference link: </w:t>
      </w:r>
      <w:hyperlink r:id="rId63" w:history="1">
        <w:r>
          <w:rPr>
            <w:rStyle w:val="Hyperlink"/>
          </w:rPr>
          <w:t>https://www.rbi.org.in/Scripts/NotificationUser.aspx?Id=12165&amp;Mode=0</w:t>
        </w:r>
      </w:hyperlink>
    </w:p>
    <w:p w:rsidR="008F1299" w:rsidRDefault="008F1299" w:rsidP="008F1299"/>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Enhancements to Indo-Nepal Remittance Facility Scheme</w:t>
      </w:r>
    </w:p>
    <w:p w:rsidR="008F1299" w:rsidRDefault="008F1299" w:rsidP="008F1299">
      <w:r>
        <w:t>RBI/2021-22/94</w:t>
      </w:r>
      <w:r>
        <w:br/>
        <w:t>CO.DPSS.RPPD.No.S475/04.09.003/2021-22</w:t>
      </w:r>
    </w:p>
    <w:p w:rsidR="008F1299" w:rsidRDefault="008F1299" w:rsidP="008F1299">
      <w:r>
        <w:t>August 27, 2021</w:t>
      </w:r>
    </w:p>
    <w:p w:rsidR="008F1299" w:rsidRDefault="008F1299" w:rsidP="008F1299">
      <w:r>
        <w:t>The Chairman / Managing Director / Chief Executive Officer</w:t>
      </w:r>
      <w:r>
        <w:br/>
        <w:t>of all banks participating in NEFT</w:t>
      </w:r>
    </w:p>
    <w:p w:rsidR="008F1299" w:rsidRDefault="008F1299" w:rsidP="008F1299">
      <w:r>
        <w:t>Madam / Dear Sir,</w:t>
      </w:r>
    </w:p>
    <w:p w:rsidR="008F1299" w:rsidRDefault="008F1299" w:rsidP="008F1299">
      <w:pPr>
        <w:rPr>
          <w:b/>
          <w:bCs/>
        </w:rPr>
      </w:pPr>
      <w:r>
        <w:rPr>
          <w:b/>
          <w:bCs/>
        </w:rPr>
        <w:t>Enhancements to Indo-Nepal Remittance Facility Scheme</w:t>
      </w:r>
    </w:p>
    <w:p w:rsidR="008F1299" w:rsidRDefault="008F1299" w:rsidP="008F1299">
      <w:r>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t>th</w:t>
      </w:r>
      <w:proofErr w:type="spellEnd"/>
      <w:r>
        <w:tab/>
        <w:t>q`1</w:t>
      </w:r>
      <w:r>
        <w:tab/>
        <w:t>rough an agency arrangement.</w:t>
      </w:r>
    </w:p>
    <w:p w:rsidR="008F1299" w:rsidRDefault="008F1299" w:rsidP="008F1299">
      <w:r>
        <w:t>2. A review of the Scheme has since been made and to boost trade payments between the two countries, as also to facilitate person-to-person remittances electronically to Nepal, the following enhancements are announced –</w:t>
      </w:r>
    </w:p>
    <w:p w:rsidR="008F1299" w:rsidRDefault="008F1299" w:rsidP="008F1299">
      <w:pPr>
        <w:numPr>
          <w:ilvl w:val="0"/>
          <w:numId w:val="3"/>
        </w:numPr>
      </w:pPr>
      <w:r>
        <w:t>Increase in the ceiling per transaction from ₹50,000 to ₹2 lakh.</w:t>
      </w:r>
    </w:p>
    <w:p w:rsidR="008F1299" w:rsidRDefault="008F1299" w:rsidP="008F1299">
      <w:pPr>
        <w:numPr>
          <w:ilvl w:val="0"/>
          <w:numId w:val="3"/>
        </w:numPr>
      </w:pPr>
      <w:r>
        <w:t>Removal of the cap of 12 remittances in a year per remitter.</w:t>
      </w:r>
    </w:p>
    <w:p w:rsidR="008F1299" w:rsidRDefault="008F1299" w:rsidP="008F1299">
      <w:pPr>
        <w:numPr>
          <w:ilvl w:val="0"/>
          <w:numId w:val="3"/>
        </w:numPr>
      </w:pPr>
      <w:r>
        <w:t>As hitherto, banks shall accept remittances by way of cash from walk-in customers or non-customers. The ceiling of ₹50,000 per remittance with a maximum of 12 remittances in a year shall, however, continue to apply for such remittances.</w:t>
      </w:r>
    </w:p>
    <w:p w:rsidR="008F1299" w:rsidRDefault="008F1299" w:rsidP="008F1299">
      <w:pPr>
        <w:numPr>
          <w:ilvl w:val="0"/>
          <w:numId w:val="3"/>
        </w:numPr>
      </w:pPr>
      <w:r>
        <w:t>The charges for transactions up to ₹50,000 shall continue as provided in </w:t>
      </w:r>
      <w:hyperlink r:id="rId64" w:tgtFrame="_blank" w:history="1">
        <w:r>
          <w:rPr>
            <w:rStyle w:val="Hyperlink"/>
          </w:rPr>
          <w:t>circular DPSS (CO) No.1381/04.09.003/2008-09 dated February 09, 2009</w:t>
        </w:r>
      </w:hyperlink>
      <w:r>
        <w:t>. For transactions beyond ₹50,000, the charges prescribed by SBI shall apply.</w:t>
      </w:r>
    </w:p>
    <w:p w:rsidR="008F1299" w:rsidRDefault="008F1299" w:rsidP="008F1299">
      <w:pPr>
        <w:numPr>
          <w:ilvl w:val="0"/>
          <w:numId w:val="3"/>
        </w:numPr>
      </w:pPr>
      <w:r>
        <w:t>The banks shall put in place suitable velocity checks and other risk mitigation procedures.</w:t>
      </w:r>
    </w:p>
    <w:p w:rsidR="008F1299" w:rsidRDefault="008F1299" w:rsidP="008F1299">
      <w:r>
        <w:t>3. The enhancements are also expected to facilitate payments relating to retirement, pension, etc., to our ex-servicemen who have settled / relocated in Nepal.</w:t>
      </w:r>
    </w:p>
    <w:p w:rsidR="008F1299" w:rsidRDefault="008F1299" w:rsidP="008F1299">
      <w:r>
        <w:t>4. These directions are issued under Section 10 (2) read with Section 18 of Payment and Settlement Systems Act, 2007 (Act 51 of 2007) and shall come into effect from October 01, 2021.</w:t>
      </w:r>
    </w:p>
    <w:p w:rsidR="008F1299" w:rsidRDefault="008F1299" w:rsidP="008F1299">
      <w:r>
        <w:t>Yours faithfully,</w:t>
      </w:r>
    </w:p>
    <w:p w:rsidR="008F1299" w:rsidRDefault="008F1299" w:rsidP="008F1299">
      <w:r>
        <w:t xml:space="preserve">(P </w:t>
      </w:r>
      <w:proofErr w:type="spellStart"/>
      <w:r>
        <w:t>Vasudevan</w:t>
      </w:r>
      <w:proofErr w:type="spellEnd"/>
      <w:r>
        <w:t>)</w:t>
      </w:r>
      <w:r>
        <w:br/>
        <w:t>Chief General Manager</w:t>
      </w:r>
    </w:p>
    <w:p w:rsidR="008F1299" w:rsidRDefault="008F1299" w:rsidP="008F1299">
      <w:r>
        <w:t xml:space="preserve">Reference link: </w:t>
      </w:r>
      <w:hyperlink r:id="rId65" w:history="1">
        <w:r>
          <w:rPr>
            <w:rStyle w:val="Hyperlink"/>
          </w:rPr>
          <w:t>https://www.rbi.org.in/Scripts/NotificationUser.aspx?Id=12155&amp;Mode=0</w:t>
        </w:r>
      </w:hyperlink>
    </w:p>
    <w:p w:rsidR="00CF1D0F" w:rsidRDefault="00CF1D0F"/>
    <w:p w:rsidR="008F1299" w:rsidRDefault="008F1299"/>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Resolution Framework for COVID-19-related Stress – Financial Parameters – Revised timelines for compliance</w:t>
      </w:r>
    </w:p>
    <w:p w:rsidR="008F1299" w:rsidRDefault="008F1299" w:rsidP="008F1299">
      <w:r>
        <w:t>RBI/2021-22/80</w:t>
      </w:r>
      <w:r>
        <w:br/>
        <w:t>DOR.STR.REC.38/21.04.048/2021-22</w:t>
      </w:r>
    </w:p>
    <w:p w:rsidR="008F1299" w:rsidRDefault="008F1299" w:rsidP="008F1299">
      <w:r>
        <w:t>August 6, 2021</w:t>
      </w:r>
    </w:p>
    <w:p w:rsidR="008F1299" w:rsidRDefault="008F1299" w:rsidP="008F1299">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8F1299" w:rsidRDefault="008F1299" w:rsidP="008F1299">
      <w:r>
        <w:t>Madam / Dear Sir,</w:t>
      </w:r>
    </w:p>
    <w:p w:rsidR="008F1299" w:rsidRDefault="008F1299" w:rsidP="008F1299">
      <w:pPr>
        <w:rPr>
          <w:b/>
          <w:bCs/>
        </w:rPr>
      </w:pPr>
      <w:r>
        <w:rPr>
          <w:b/>
          <w:bCs/>
        </w:rPr>
        <w:t>Resolution Framework for COVID-19-related Stress – Financial Parameters – Revised timelines for compliance</w:t>
      </w:r>
    </w:p>
    <w:p w:rsidR="008F1299" w:rsidRDefault="008F1299" w:rsidP="008F1299">
      <w:r>
        <w:t>Please refer to the </w:t>
      </w:r>
      <w:hyperlink r:id="rId66" w:tgtFrame="_blank" w:history="1">
        <w:r>
          <w:rPr>
            <w:rStyle w:val="Hyperlink"/>
          </w:rPr>
          <w:t xml:space="preserve">circular </w:t>
        </w:r>
        <w:proofErr w:type="spellStart"/>
        <w:r>
          <w:rPr>
            <w:rStyle w:val="Hyperlink"/>
          </w:rPr>
          <w:t>DOR.No.BP.BC</w:t>
        </w:r>
        <w:proofErr w:type="spellEnd"/>
        <w:r>
          <w:rPr>
            <w:rStyle w:val="Hyperlink"/>
          </w:rPr>
          <w:t>/13/21.04.048/2020-21 dated September 7, 2020</w:t>
        </w:r>
      </w:hyperlink>
      <w:r>
        <w:t> inter alia advising the key ratios and their sector specific thresholds to be considered by lending institutions while finalising the resolution plans in respect of eligible borrowers under Part B of the Annex to the </w:t>
      </w:r>
      <w:hyperlink r:id="rId67" w:tgtFrame="_blank" w:history="1">
        <w:r>
          <w:rPr>
            <w:rStyle w:val="Hyperlink"/>
          </w:rPr>
          <w:t>Resolution Framework for Covid-19 related stress issued on August 6, 2020</w:t>
        </w:r>
      </w:hyperlink>
      <w:r>
        <w:t>.</w:t>
      </w:r>
    </w:p>
    <w:p w:rsidR="008F1299" w:rsidRDefault="008F1299" w:rsidP="008F1299">
      <w:r>
        <w:t>2. The key ratios consisted of four operational ratios, viz., Total Debt / EBITDA, Current Ratio, Debt Service Coverage Ratio (DSCR) and Average Debt Service Coverage Ratio (ADSCR), along with the ratio Total Outside Liabilities / Adjusted Tangible Net Worth (TOL/ATNW) representing the debt-equity mix of the borrower post implementation of the resolution plan.</w:t>
      </w:r>
    </w:p>
    <w:p w:rsidR="008F1299" w:rsidRDefault="008F1299" w:rsidP="008F1299">
      <w:r>
        <w:t>3. In view of the resurgence of the Covid-19 pandemic in 2021 and recognising the difficulties it may pose for the borrowers in meeting the operational parameters, it has been decided to defer the target date for meeting the specified thresholds in respect of the four operational parameters, viz. Total Debt / EBIDTA, Current Ratio, DSCR and ADSCR, to October 1, 2022.</w:t>
      </w:r>
    </w:p>
    <w:p w:rsidR="008F1299" w:rsidRDefault="008F1299" w:rsidP="008F1299">
      <w:r>
        <w:t>4. The target date for achieving the ratio TOL/ATNW, as crystallised in terms of the resolution plan, shall remain unchanged as March 31, 2022.</w:t>
      </w:r>
    </w:p>
    <w:p w:rsidR="008F1299" w:rsidRDefault="008F1299" w:rsidP="008F1299">
      <w:r>
        <w:t>Yours faithfully,</w:t>
      </w:r>
    </w:p>
    <w:p w:rsidR="008F1299" w:rsidRDefault="008F1299" w:rsidP="008F1299">
      <w:r>
        <w:t>(</w:t>
      </w:r>
      <w:proofErr w:type="spellStart"/>
      <w:r>
        <w:t>Manoranjan</w:t>
      </w:r>
      <w:proofErr w:type="spellEnd"/>
      <w:r>
        <w:t xml:space="preserve"> Mishra)</w:t>
      </w:r>
      <w:r>
        <w:br/>
        <w:t>Chief General Manager</w:t>
      </w:r>
    </w:p>
    <w:p w:rsidR="008F1299" w:rsidRDefault="008F1299" w:rsidP="008F1299">
      <w:r>
        <w:t xml:space="preserve">Reference link: </w:t>
      </w:r>
      <w:hyperlink r:id="rId68" w:history="1">
        <w:r>
          <w:rPr>
            <w:rStyle w:val="Hyperlink"/>
          </w:rPr>
          <w:t>https://www.rbi.org.in/Scripts/NotificationUser.aspx?Id=12140&amp;Mode=0</w:t>
        </w:r>
      </w:hyperlink>
    </w:p>
    <w:p w:rsidR="008F1299" w:rsidRDefault="008F1299" w:rsidP="008F1299"/>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Guidelines for Implementation of the circular on Opening of Current Accounts by Banks</w:t>
      </w:r>
    </w:p>
    <w:p w:rsidR="008F1299" w:rsidRDefault="008F1299" w:rsidP="008F1299">
      <w:r>
        <w:t>RBI/2021-22/77</w:t>
      </w:r>
      <w:r>
        <w:br/>
        <w:t>DOR.CRE.REC.35/21.04.048/2021-22</w:t>
      </w:r>
    </w:p>
    <w:p w:rsidR="008F1299" w:rsidRDefault="008F1299" w:rsidP="008F1299">
      <w:r>
        <w:t>August 04, 2021</w:t>
      </w:r>
    </w:p>
    <w:p w:rsidR="008F1299" w:rsidRDefault="008F1299" w:rsidP="008F1299">
      <w:r>
        <w:t>To,</w:t>
      </w:r>
    </w:p>
    <w:p w:rsidR="008F1299" w:rsidRDefault="008F1299" w:rsidP="008F1299">
      <w:r>
        <w:t>All Scheduled Commercial Banks</w:t>
      </w:r>
      <w:r>
        <w:br/>
        <w:t>All Payments Banks</w:t>
      </w:r>
    </w:p>
    <w:p w:rsidR="008F1299" w:rsidRDefault="008F1299" w:rsidP="008F1299">
      <w:r>
        <w:t>Madam / Dear Sir,</w:t>
      </w:r>
    </w:p>
    <w:p w:rsidR="008F1299" w:rsidRDefault="008F1299" w:rsidP="008F1299">
      <w:pPr>
        <w:rPr>
          <w:b/>
          <w:bCs/>
        </w:rPr>
      </w:pPr>
      <w:r>
        <w:rPr>
          <w:b/>
          <w:bCs/>
        </w:rPr>
        <w:t>Guidelines for Implementation of the circular on</w:t>
      </w:r>
      <w:r>
        <w:rPr>
          <w:b/>
          <w:bCs/>
        </w:rPr>
        <w:br/>
        <w:t>Opening of Current Accounts by Banks</w:t>
      </w:r>
    </w:p>
    <w:p w:rsidR="008F1299" w:rsidRDefault="008F1299" w:rsidP="008F1299">
      <w:r>
        <w:t>Please refer to </w:t>
      </w:r>
      <w:hyperlink r:id="rId69" w:tgtFrame="_blank" w:history="1">
        <w:r>
          <w:rPr>
            <w:rStyle w:val="Hyperlink"/>
          </w:rPr>
          <w:t xml:space="preserve">circulars </w:t>
        </w:r>
        <w:proofErr w:type="spellStart"/>
        <w:r>
          <w:rPr>
            <w:rStyle w:val="Hyperlink"/>
          </w:rPr>
          <w:t>DOR.No.BP.BC</w:t>
        </w:r>
        <w:proofErr w:type="spellEnd"/>
        <w:r>
          <w:rPr>
            <w:rStyle w:val="Hyperlink"/>
          </w:rPr>
          <w:t>/7/21.04.048/2020-21 dated August 6, 2020</w:t>
        </w:r>
      </w:hyperlink>
      <w:r>
        <w:t>, </w:t>
      </w:r>
      <w:hyperlink r:id="rId70" w:tgtFrame="_blank" w:history="1">
        <w:r>
          <w:rPr>
            <w:rStyle w:val="Hyperlink"/>
          </w:rPr>
          <w:t>DOR.No.BP.BC.27/21.04.048/2020-21 dated November 2, 2020</w:t>
        </w:r>
      </w:hyperlink>
      <w:r>
        <w:t> and </w:t>
      </w:r>
      <w:hyperlink r:id="rId71" w:tgtFrame="_blank" w:history="1">
        <w:r>
          <w:rPr>
            <w:rStyle w:val="Hyperlink"/>
          </w:rPr>
          <w:t>DOR.No.BP.BC.30/21.04.048/2020-21 dated December 14, 2020</w:t>
        </w:r>
      </w:hyperlink>
      <w:r>
        <w:t> on Opening of Current Accounts by Banks - Need for Discipline.</w:t>
      </w:r>
    </w:p>
    <w:p w:rsidR="008F1299" w:rsidRDefault="008F1299" w:rsidP="008F1299">
      <w:r>
        <w:t xml:space="preserve">2. The instructions were issued vide the above circulars in order to enforce credit discipline amongst the borrowers as well as to facilitate better monitoring by the lenders; and for this purpose, a graded approach had been prescribed on opening and operating of current accounts and CC/OD facilities. Banks were required to implement these instructions in a non-disruptive manner while keeping the </w:t>
      </w:r>
      <w:proofErr w:type="spellStart"/>
      <w:r>
        <w:t>bonafide</w:t>
      </w:r>
      <w:proofErr w:type="spellEnd"/>
      <w:r>
        <w:t xml:space="preserve"> business requirements of the borrowers in mind.</w:t>
      </w:r>
    </w:p>
    <w:p w:rsidR="008F1299" w:rsidRDefault="008F1299" w:rsidP="008F1299"/>
    <w:p w:rsidR="008F1299" w:rsidRDefault="008F1299" w:rsidP="008F1299">
      <w:r>
        <w:t>The timeline for implementing the notifications as mentioned in circular and resolving the operational issues is till October 31, 2021. For more details, click on the link below</w:t>
      </w:r>
    </w:p>
    <w:p w:rsidR="008F1299" w:rsidRDefault="008F1299" w:rsidP="008F1299">
      <w:r>
        <w:t xml:space="preserve">Reference link: </w:t>
      </w:r>
      <w:hyperlink r:id="rId72" w:history="1">
        <w:r>
          <w:rPr>
            <w:rStyle w:val="Hyperlink"/>
          </w:rPr>
          <w:t>https://www.rbi.org.in/Scripts/NotificationUser.aspx?Id=12137&amp;Mode=0</w:t>
        </w:r>
      </w:hyperlink>
    </w:p>
    <w:p w:rsidR="008F1299" w:rsidRDefault="008F1299" w:rsidP="008F1299"/>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rsidR="008F1299" w:rsidRDefault="008F1299" w:rsidP="008F1299">
      <w:r>
        <w:t>RBI/2021-22/72</w:t>
      </w:r>
      <w:r>
        <w:br/>
        <w:t>DOR.CRE.REC.No.33/13.03.00/2021-22</w:t>
      </w:r>
    </w:p>
    <w:p w:rsidR="008F1299" w:rsidRDefault="008F1299" w:rsidP="008F1299">
      <w:r>
        <w:t>July 23, 2021</w:t>
      </w:r>
    </w:p>
    <w:p w:rsidR="008F1299" w:rsidRDefault="008F1299" w:rsidP="008F1299">
      <w:r>
        <w:t>All Scheduled Commercial Banks (excluding RRBs)</w:t>
      </w:r>
      <w:r>
        <w:br/>
        <w:t>All Small Finance Banks</w:t>
      </w:r>
      <w:r>
        <w:br/>
        <w:t>All Local Area Banks</w:t>
      </w:r>
    </w:p>
    <w:p w:rsidR="008F1299" w:rsidRDefault="008F1299" w:rsidP="008F1299">
      <w:r>
        <w:t>Madam / Dear Sir,</w:t>
      </w:r>
    </w:p>
    <w:p w:rsidR="008F1299" w:rsidRDefault="008F1299" w:rsidP="008F1299">
      <w:pPr>
        <w:rPr>
          <w:b/>
          <w:bCs/>
        </w:rPr>
      </w:pPr>
      <w:r>
        <w:rPr>
          <w:b/>
          <w:bCs/>
        </w:rPr>
        <w:t>Loans and Advances – Regulatory Restrictions</w:t>
      </w:r>
    </w:p>
    <w:p w:rsidR="008F1299" w:rsidRDefault="008F1299" w:rsidP="008F1299">
      <w:r>
        <w:t>Please refer to paragraphs 2.2.1.2, 2.2.1.4 and paragraph 2.2.1.5 of </w:t>
      </w:r>
      <w:hyperlink r:id="rId73" w:tgtFrame="_blank" w:history="1">
        <w:r>
          <w:rPr>
            <w:rStyle w:val="Hyperlink"/>
          </w:rPr>
          <w:t>Master Circular on Loans and Advances - Statutory and Other Restrictions dated July 01, 2015</w:t>
        </w:r>
      </w:hyperlink>
      <w:r>
        <w:t>.</w:t>
      </w:r>
    </w:p>
    <w:p w:rsidR="008F1299" w:rsidRDefault="008F1299" w:rsidP="008F1299">
      <w:r>
        <w:t>2. On a review, it has been decided that</w:t>
      </w:r>
    </w:p>
    <w:p w:rsidR="008F1299" w:rsidRDefault="008F1299" w:rsidP="008F1299">
      <w:proofErr w:type="spellStart"/>
      <w:r>
        <w:t>i</w:t>
      </w:r>
      <w:proofErr w:type="spellEnd"/>
      <w:r>
        <w:t>) For personal loans granted to any director of other banks, the threshold of Rupees twenty-five lakh, as mentioned in para 2.2.1.2, stands revised to Rupees five crore.</w:t>
      </w:r>
    </w:p>
    <w:p w:rsidR="008F1299" w:rsidRDefault="008F1299" w:rsidP="008F1299">
      <w:r>
        <w:t>ii) Paragraph 2.2.1.4 has been revised as under –</w:t>
      </w:r>
    </w:p>
    <w:p w:rsidR="008F1299" w:rsidRDefault="008F1299" w:rsidP="008F1299">
      <w:r>
        <w:t>Unless sanctioned by the Board of Directors/Management Committee, banks should not grant loans and advances aggregating Rupees five crore and above to -</w:t>
      </w:r>
    </w:p>
    <w:p w:rsidR="008F1299" w:rsidRDefault="008F1299" w:rsidP="008F1299">
      <w:r>
        <w:t>(a) any relative other than spouse (spouse as specified in para 2.2.1.3 above) and minor / dependent children of their own Chairmen/Managing Directors or other Directors;</w:t>
      </w:r>
    </w:p>
    <w:p w:rsidR="008F1299" w:rsidRDefault="008F1299" w:rsidP="008F1299">
      <w:r>
        <w:t>(b) any relative other than spouse (spouse as specified in para 2.2.1.3 above) and minor / dependent children of the Chairman/Managing Director or other directors of other banks*;</w:t>
      </w:r>
    </w:p>
    <w:p w:rsidR="008F1299" w:rsidRDefault="008F1299" w:rsidP="008F1299">
      <w:r>
        <w:t>(c) any firm in which any of the relatives other than spouse (spouse as specified in para 2.2.1.3 above) and minor / dependent children as mentioned in (a) &amp; (b) above is interested as a partner or guarantor; and</w:t>
      </w:r>
    </w:p>
    <w:p w:rsidR="008F1299" w:rsidRDefault="008F1299" w:rsidP="008F1299">
      <w:r>
        <w:t>(d) any company in which any of the relatives other than spouse (spouse as specified in para 2.2.1.3 above) and minor / dependent children as mentioned in (a) &amp; (b) above is interested as a major shareholder or as a director or as a guarantor or is in control.</w:t>
      </w:r>
    </w:p>
    <w:p w:rsidR="008F1299" w:rsidRDefault="008F1299" w:rsidP="008F1299">
      <w:r>
        <w:t>Provided that a relative of a director shall also be deemed to be interested in a company, being the subsidiary or holding company, if he/she is a major shareholder or is in control of the respective holding or subsidiary company.</w:t>
      </w:r>
    </w:p>
    <w:p w:rsidR="008F1299" w:rsidRDefault="008F1299" w:rsidP="008F1299">
      <w:r>
        <w:t>*including directors of Scheduled Co-operative Banks, directors of subsidiaries/trustees of mutual funds/venture capital funds.</w:t>
      </w:r>
    </w:p>
    <w:p w:rsidR="008F1299" w:rsidRDefault="008F1299" w:rsidP="008F1299">
      <w:r>
        <w:t>iii) Paragraph 2.2.1.5 has been revised as under -</w:t>
      </w:r>
    </w:p>
    <w:p w:rsidR="008F1299" w:rsidRDefault="008F1299" w:rsidP="008F1299">
      <w:r>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rsidR="008F1299" w:rsidRDefault="008F1299" w:rsidP="008F1299">
      <w:r>
        <w:t xml:space="preserve">Reference link: </w:t>
      </w:r>
      <w:hyperlink r:id="rId74" w:history="1">
        <w:r>
          <w:rPr>
            <w:rStyle w:val="Hyperlink"/>
          </w:rPr>
          <w:t>https://www.rbi.org.in/Scripts/NotificationUser.aspx?Id=12132&amp;Mode=0</w:t>
        </w:r>
      </w:hyperlink>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8F1299" w:rsidRDefault="008F1299" w:rsidP="008F1299">
      <w:r>
        <w:t>RBI/2021-22/69</w:t>
      </w:r>
      <w:r>
        <w:br/>
        <w:t>CO.FMRD.DIRD.S39/14.02.001/2021-22</w:t>
      </w:r>
    </w:p>
    <w:p w:rsidR="008F1299" w:rsidRDefault="008F1299" w:rsidP="008F1299">
      <w:r>
        <w:t>July 08, 2021</w:t>
      </w:r>
    </w:p>
    <w:p w:rsidR="008F1299" w:rsidRDefault="008F1299" w:rsidP="008F1299">
      <w:r>
        <w:t>To</w:t>
      </w:r>
    </w:p>
    <w:p w:rsidR="008F1299" w:rsidRDefault="008F1299" w:rsidP="008F1299">
      <w:r>
        <w:t>The Chief Executive Officer/ Chairman/Managing Director,</w:t>
      </w:r>
      <w:r>
        <w:br/>
        <w:t>All Commercial and Co-operative Banks / All India Financial Institutions / Non-Banking Financial Companies including Housing Finance Companies and Standalone Primary Dealers</w:t>
      </w:r>
    </w:p>
    <w:p w:rsidR="008F1299" w:rsidRDefault="008F1299" w:rsidP="008F1299">
      <w:r>
        <w:t> </w:t>
      </w:r>
    </w:p>
    <w:p w:rsidR="008F1299" w:rsidRDefault="008F1299" w:rsidP="008F1299">
      <w:r>
        <w:t>Madam / Dear Sir</w:t>
      </w:r>
    </w:p>
    <w:p w:rsidR="008F1299" w:rsidRDefault="008F1299" w:rsidP="008F1299">
      <w:pPr>
        <w:rPr>
          <w:b/>
          <w:bCs/>
        </w:rPr>
      </w:pPr>
      <w:r>
        <w:rPr>
          <w:b/>
          <w:bCs/>
        </w:rPr>
        <w:t>Roadmap for LIBOR Transition</w:t>
      </w:r>
    </w:p>
    <w:p w:rsidR="008F1299" w:rsidRDefault="008F1299" w:rsidP="008F1299">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8F1299" w:rsidRDefault="008F1299" w:rsidP="008F1299">
      <w:r>
        <w:t>(a) Immediately after December 31, 2021, in the case of all Pound sterling, Euro, Swiss franc and Japanese yen settings, and the 1-week and 2-month US dollar settings; and</w:t>
      </w:r>
    </w:p>
    <w:p w:rsidR="008F1299" w:rsidRDefault="008F1299" w:rsidP="008F1299">
      <w:r>
        <w:t>(b) Immediately after June 30, 2023, in the case of the remaining US dollar settings.</w:t>
      </w:r>
    </w:p>
    <w:p w:rsidR="008F1299" w:rsidRDefault="008F1299" w:rsidP="008F1299"/>
    <w:p w:rsidR="008F1299" w:rsidRDefault="008F1299" w:rsidP="008F1299">
      <w:r>
        <w:t>More details on the roadmap for LIBOR transition can be referred to from the below link</w:t>
      </w:r>
    </w:p>
    <w:p w:rsidR="008F1299" w:rsidRDefault="008F1299" w:rsidP="008F1299">
      <w:r>
        <w:t xml:space="preserve">Reference link: </w:t>
      </w:r>
      <w:hyperlink r:id="rId75" w:history="1">
        <w:r>
          <w:rPr>
            <w:rStyle w:val="Hyperlink"/>
          </w:rPr>
          <w:t>https://www.rbi.org.in/Scripts/NotificationUser.aspx?Id=12128&amp;Mode=0</w:t>
        </w:r>
      </w:hyperlink>
    </w:p>
    <w:p w:rsidR="008F1299" w:rsidRDefault="008F1299" w:rsidP="008F1299"/>
    <w:p w:rsidR="008F1299" w:rsidRDefault="008F1299" w:rsidP="008F1299">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New Definition of Micro, Small and Medium Enterprises - Addition of Retail and Wholesale Trade</w:t>
      </w:r>
    </w:p>
    <w:p w:rsidR="008F1299" w:rsidRDefault="008F1299" w:rsidP="008F1299">
      <w:r>
        <w:t>RBI/2021-2022/67</w:t>
      </w:r>
      <w:r>
        <w:br/>
        <w:t>FIDD.MSME &amp; NFS.BC.No.13/06.02.31/2021-22</w:t>
      </w:r>
    </w:p>
    <w:p w:rsidR="008F1299" w:rsidRDefault="008F1299" w:rsidP="008F1299">
      <w:r>
        <w:t>July 7, 2021</w:t>
      </w:r>
    </w:p>
    <w:p w:rsidR="008F1299" w:rsidRDefault="008F1299" w:rsidP="008F1299">
      <w:r>
        <w:t>The Chairman/ Managing Director/Chief Executive Officer</w:t>
      </w:r>
      <w:r>
        <w:br/>
        <w:t>All Commercial Banks</w:t>
      </w:r>
      <w:r>
        <w:br/>
        <w:t>(including Small Finance Banks, Local Area Banks and Regional Rural Banks)</w:t>
      </w:r>
      <w:r>
        <w:br/>
        <w:t>All Primary (Urban) Co-operative Banks/State Co-operative Banks</w:t>
      </w:r>
      <w:r>
        <w:br/>
        <w:t>/ District Central Co-operative Banks</w:t>
      </w:r>
      <w:r>
        <w:br/>
        <w:t>All-India Financial Institutions</w:t>
      </w:r>
      <w:r>
        <w:br/>
        <w:t>All Non-Banking Financial Companies</w:t>
      </w:r>
    </w:p>
    <w:p w:rsidR="008F1299" w:rsidRDefault="008F1299" w:rsidP="008F1299">
      <w:r>
        <w:t>Dear Sir/Madam,</w:t>
      </w:r>
    </w:p>
    <w:p w:rsidR="008F1299" w:rsidRDefault="008F1299" w:rsidP="008F1299">
      <w:pPr>
        <w:rPr>
          <w:b/>
          <w:bCs/>
        </w:rPr>
      </w:pPr>
      <w:r>
        <w:rPr>
          <w:b/>
          <w:bCs/>
        </w:rPr>
        <w:t>New Definition of Micro, Small and Medium Enterprises - Addition of Retail and Wholesale Trade</w:t>
      </w:r>
    </w:p>
    <w:p w:rsidR="008F1299" w:rsidRDefault="008F1299" w:rsidP="008F1299">
      <w:r>
        <w:t>Please refer to the </w:t>
      </w:r>
      <w:hyperlink r:id="rId76" w:tgtFrame="_blank" w:history="1">
        <w:r>
          <w:rPr>
            <w:rStyle w:val="Hyperlink"/>
          </w:rPr>
          <w:t>circulars FIDD.MSME &amp; NFS.BC.No.3/06.02.31/2020-21 dated July 2, 2020</w:t>
        </w:r>
      </w:hyperlink>
      <w:r>
        <w:t> on ‘Credit flow to Micro, Small and Medium Enterprises Sector’ and </w:t>
      </w:r>
      <w:hyperlink r:id="rId77" w:tgtFrame="_blank" w:history="1">
        <w:r>
          <w:rPr>
            <w:rStyle w:val="Hyperlink"/>
          </w:rPr>
          <w:t>FIDD.MSME &amp; NFS.BC.No.4/06.02.31/2020-21 dated August 21, 2020</w:t>
        </w:r>
      </w:hyperlink>
      <w:r>
        <w:t>, on ‘New Definition of Micro, Small and Medium Enterprises- clarifications’.</w:t>
      </w:r>
    </w:p>
    <w:p w:rsidR="008F1299" w:rsidRDefault="008F1299" w:rsidP="008F1299">
      <w:r>
        <w:t>2. In this connection, Ministry of Micro, Small and Medium Enterprises vide </w:t>
      </w:r>
      <w:hyperlink r:id="rId78" w:tgtFrame="_blank" w:history="1">
        <w:r>
          <w:rPr>
            <w:rStyle w:val="Hyperlink"/>
          </w:rPr>
          <w:t>Office Memorandum (OM) No. 5/2(2)/2021-E/P &amp; G/Policy dated July 2, 2021</w:t>
        </w:r>
      </w:hyperlink>
      <w:r>
        <w:t xml:space="preserve">, has decided to include Retail and Wholesale trade as MSMEs for the limited purpose of Priority Sector Lending and they would be allowed to be registered on </w:t>
      </w:r>
      <w:proofErr w:type="spellStart"/>
      <w:r>
        <w:t>Udyam</w:t>
      </w:r>
      <w:proofErr w:type="spellEnd"/>
      <w:r>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8F1299" w:rsidTr="008F1299">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299" w:rsidRDefault="008F1299">
            <w:r>
              <w:t>45</w:t>
            </w:r>
          </w:p>
        </w:tc>
        <w:tc>
          <w:tcPr>
            <w:tcW w:w="4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299" w:rsidRDefault="008F1299">
            <w:r>
              <w:t>Wholesale and retail trade and repair of motor vehicles and motorcycles</w:t>
            </w:r>
          </w:p>
        </w:tc>
      </w:tr>
      <w:tr w:rsidR="008F1299" w:rsidTr="008F129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299" w:rsidRDefault="008F1299">
            <w: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299" w:rsidRDefault="008F1299">
            <w:r>
              <w:t>Wholesale trade except of motor vehicles and motorcycles</w:t>
            </w:r>
          </w:p>
        </w:tc>
      </w:tr>
      <w:tr w:rsidR="008F1299" w:rsidTr="008F1299">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299" w:rsidRDefault="008F1299">
            <w: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F1299" w:rsidRDefault="008F1299">
            <w:r>
              <w:t>Retail trade except of motor vehicles and motorcycles</w:t>
            </w:r>
          </w:p>
        </w:tc>
      </w:tr>
    </w:tbl>
    <w:p w:rsidR="008F1299" w:rsidRDefault="008F1299" w:rsidP="008F1299">
      <w:r>
        <w:t xml:space="preserve">3. The Enterprises having </w:t>
      </w:r>
      <w:proofErr w:type="spellStart"/>
      <w:r>
        <w:t>Udyog</w:t>
      </w:r>
      <w:proofErr w:type="spellEnd"/>
      <w:r>
        <w:t xml:space="preserve"> </w:t>
      </w:r>
      <w:proofErr w:type="spellStart"/>
      <w:r>
        <w:t>Aadhaar</w:t>
      </w:r>
      <w:proofErr w:type="spellEnd"/>
      <w:r>
        <w:t xml:space="preserve"> Memorandum (UAM) under above three NIC Codes are now allowed to migrate to </w:t>
      </w:r>
      <w:proofErr w:type="spellStart"/>
      <w:r>
        <w:t>Udyam</w:t>
      </w:r>
      <w:proofErr w:type="spellEnd"/>
      <w:r>
        <w:t xml:space="preserve"> Registration Portal or file </w:t>
      </w:r>
      <w:proofErr w:type="spellStart"/>
      <w:r>
        <w:t>Udyam</w:t>
      </w:r>
      <w:proofErr w:type="spellEnd"/>
      <w:r>
        <w:t xml:space="preserve"> Registration afresh.</w:t>
      </w:r>
    </w:p>
    <w:p w:rsidR="008F1299" w:rsidRDefault="008F1299" w:rsidP="008F1299">
      <w:r>
        <w:t>Yours faithfully</w:t>
      </w:r>
    </w:p>
    <w:p w:rsidR="008F1299" w:rsidRDefault="008F1299" w:rsidP="008F1299">
      <w:r>
        <w:t xml:space="preserve">(Kaya </w:t>
      </w:r>
      <w:proofErr w:type="spellStart"/>
      <w:r>
        <w:t>Tripathi</w:t>
      </w:r>
      <w:proofErr w:type="spellEnd"/>
      <w:r>
        <w:t>)</w:t>
      </w:r>
      <w:r>
        <w:br/>
        <w:t>Chief General Manager</w:t>
      </w:r>
    </w:p>
    <w:p w:rsidR="008F1299" w:rsidRDefault="008F1299" w:rsidP="008F1299">
      <w:r>
        <w:t xml:space="preserve">Reference link: </w:t>
      </w:r>
      <w:hyperlink r:id="rId79" w:history="1">
        <w:r>
          <w:rPr>
            <w:rStyle w:val="Hyperlink"/>
          </w:rPr>
          <w:t>https://www.rbi.org.in/Scripts/NotificationUser.aspx?Id=12126&amp;Mode=0</w:t>
        </w:r>
      </w:hyperlink>
    </w:p>
    <w:p w:rsidR="008F1299" w:rsidRDefault="008F1299"/>
    <w:p w:rsidR="008F1299" w:rsidRDefault="008F1299">
      <w:pPr>
        <w:spacing w:line="259" w:lineRule="auto"/>
      </w:pPr>
      <w:r>
        <w:br w:type="page"/>
      </w:r>
    </w:p>
    <w:p w:rsidR="008F1299" w:rsidRDefault="008F1299" w:rsidP="008F1299">
      <w:pPr>
        <w:rPr>
          <w:rFonts w:ascii="Arial" w:hAnsi="Arial" w:cs="Arial"/>
          <w:b/>
          <w:bCs/>
          <w:color w:val="000000"/>
          <w:sz w:val="20"/>
          <w:szCs w:val="20"/>
        </w:rPr>
      </w:pPr>
      <w:r>
        <w:rPr>
          <w:rFonts w:ascii="Arial" w:hAnsi="Arial" w:cs="Arial"/>
          <w:b/>
          <w:bCs/>
          <w:color w:val="000000"/>
          <w:sz w:val="20"/>
          <w:szCs w:val="20"/>
        </w:rPr>
        <w:lastRenderedPageBreak/>
        <w:t>Interest Equalization Scheme on Pre and Post Shipment Rupee Export Credit – Extension</w:t>
      </w:r>
    </w:p>
    <w:p w:rsidR="008F1299" w:rsidRDefault="008F1299" w:rsidP="008F1299">
      <w:pPr>
        <w:rPr>
          <w:rFonts w:ascii="Arial" w:hAnsi="Arial" w:cs="Arial"/>
          <w:color w:val="000000"/>
          <w:sz w:val="20"/>
          <w:szCs w:val="20"/>
        </w:rPr>
      </w:pPr>
      <w:r>
        <w:rPr>
          <w:rFonts w:ascii="Arial" w:hAnsi="Arial" w:cs="Arial"/>
          <w:color w:val="000000"/>
          <w:sz w:val="20"/>
          <w:szCs w:val="20"/>
        </w:rPr>
        <w:t>RBI/2021-22/65</w:t>
      </w:r>
      <w:r>
        <w:rPr>
          <w:rFonts w:ascii="Arial" w:hAnsi="Arial" w:cs="Arial"/>
          <w:color w:val="000000"/>
          <w:sz w:val="20"/>
          <w:szCs w:val="20"/>
        </w:rPr>
        <w:br/>
        <w:t>DOR.CRE(DIR).REC.28/04.02.001/2021-22</w:t>
      </w:r>
    </w:p>
    <w:p w:rsidR="008F1299" w:rsidRDefault="008F1299" w:rsidP="008F1299">
      <w:pPr>
        <w:rPr>
          <w:rFonts w:ascii="Arial" w:hAnsi="Arial" w:cs="Arial"/>
          <w:color w:val="000000"/>
          <w:sz w:val="20"/>
          <w:szCs w:val="20"/>
        </w:rPr>
      </w:pPr>
      <w:r>
        <w:rPr>
          <w:rFonts w:ascii="Arial" w:hAnsi="Arial" w:cs="Arial"/>
          <w:color w:val="000000"/>
          <w:sz w:val="20"/>
          <w:szCs w:val="20"/>
        </w:rPr>
        <w:t>July 1, 2021</w:t>
      </w:r>
    </w:p>
    <w:p w:rsidR="008F1299" w:rsidRDefault="008F1299" w:rsidP="008F1299">
      <w:pPr>
        <w:rPr>
          <w:rFonts w:ascii="Arial" w:hAnsi="Arial" w:cs="Arial"/>
          <w:color w:val="000000"/>
          <w:sz w:val="20"/>
          <w:szCs w:val="20"/>
        </w:rPr>
      </w:pPr>
      <w:r>
        <w:rPr>
          <w:rFonts w:ascii="Arial" w:hAnsi="Arial" w:cs="Arial"/>
          <w:color w:val="000000"/>
          <w:sz w:val="20"/>
          <w:szCs w:val="20"/>
        </w:rPr>
        <w:t>All Scheduled Commercial Banks (excluding RRBs),</w:t>
      </w:r>
      <w:r>
        <w:rPr>
          <w:rFonts w:ascii="Arial" w:hAnsi="Arial" w:cs="Arial"/>
          <w:color w:val="000000"/>
          <w:sz w:val="20"/>
          <w:szCs w:val="20"/>
        </w:rPr>
        <w:br/>
        <w:t>Small Finance Banks, Primary (Urban) Cooperative Banks</w:t>
      </w:r>
      <w:r>
        <w:rPr>
          <w:rFonts w:ascii="Arial" w:hAnsi="Arial" w:cs="Arial"/>
          <w:color w:val="000000"/>
          <w:sz w:val="20"/>
          <w:szCs w:val="20"/>
        </w:rPr>
        <w:br/>
        <w:t>and EXIM Bank</w:t>
      </w:r>
    </w:p>
    <w:p w:rsidR="008F1299" w:rsidRDefault="008F1299" w:rsidP="008F1299">
      <w:pPr>
        <w:rPr>
          <w:rFonts w:ascii="Arial" w:hAnsi="Arial" w:cs="Arial"/>
          <w:color w:val="000000"/>
          <w:sz w:val="20"/>
          <w:szCs w:val="20"/>
        </w:rPr>
      </w:pPr>
      <w:r>
        <w:rPr>
          <w:rFonts w:ascii="Arial" w:hAnsi="Arial" w:cs="Arial"/>
          <w:color w:val="000000"/>
          <w:sz w:val="20"/>
          <w:szCs w:val="20"/>
        </w:rPr>
        <w:t>Dear Sir / Madam,</w:t>
      </w:r>
    </w:p>
    <w:p w:rsidR="008F1299" w:rsidRDefault="008F1299" w:rsidP="008F1299">
      <w:pPr>
        <w:rPr>
          <w:rFonts w:ascii="Arial" w:hAnsi="Arial" w:cs="Arial"/>
          <w:b/>
          <w:bCs/>
          <w:color w:val="000000"/>
          <w:sz w:val="20"/>
          <w:szCs w:val="20"/>
        </w:rPr>
      </w:pPr>
      <w:r>
        <w:rPr>
          <w:rFonts w:ascii="Arial" w:hAnsi="Arial" w:cs="Arial"/>
          <w:b/>
          <w:bCs/>
          <w:color w:val="000000"/>
          <w:sz w:val="20"/>
          <w:szCs w:val="20"/>
        </w:rPr>
        <w:t>Interest Equalization Scheme on Pre and Post Shipment Rupee Export Credit - Extension</w:t>
      </w:r>
    </w:p>
    <w:p w:rsidR="008F1299" w:rsidRDefault="008F1299" w:rsidP="008F1299">
      <w:pPr>
        <w:rPr>
          <w:rFonts w:ascii="Arial" w:hAnsi="Arial" w:cs="Arial"/>
          <w:color w:val="000000"/>
          <w:sz w:val="20"/>
          <w:szCs w:val="20"/>
        </w:rPr>
      </w:pPr>
      <w:r>
        <w:rPr>
          <w:rFonts w:ascii="Arial" w:hAnsi="Arial" w:cs="Arial"/>
          <w:color w:val="000000"/>
          <w:sz w:val="20"/>
          <w:szCs w:val="20"/>
        </w:rPr>
        <w:t>Please refer to the instructions issued vide </w:t>
      </w:r>
      <w:hyperlink r:id="rId80" w:tgtFrame="_blank" w:history="1">
        <w:r>
          <w:rPr>
            <w:rStyle w:val="Hyperlink"/>
            <w:rFonts w:ascii="Arial" w:hAnsi="Arial" w:cs="Arial"/>
            <w:sz w:val="20"/>
            <w:szCs w:val="20"/>
          </w:rPr>
          <w:t>circular DOR.CRE.REC.06/04.02.001/2021-22 dated April 12, 2021</w:t>
        </w:r>
      </w:hyperlink>
      <w:r>
        <w:rPr>
          <w:rFonts w:ascii="Arial" w:hAnsi="Arial" w:cs="Arial"/>
          <w:color w:val="000000"/>
          <w:sz w:val="20"/>
          <w:szCs w:val="20"/>
        </w:rPr>
        <w:t>.</w:t>
      </w:r>
    </w:p>
    <w:p w:rsidR="008F1299" w:rsidRDefault="008F1299" w:rsidP="008F1299">
      <w:pPr>
        <w:rPr>
          <w:rFonts w:ascii="Arial" w:hAnsi="Arial" w:cs="Arial"/>
          <w:color w:val="000000"/>
          <w:sz w:val="20"/>
          <w:szCs w:val="20"/>
        </w:rPr>
      </w:pPr>
      <w:r>
        <w:rPr>
          <w:rFonts w:ascii="Arial" w:hAnsi="Arial" w:cs="Arial"/>
          <w:color w:val="000000"/>
          <w:sz w:val="20"/>
          <w:szCs w:val="20"/>
        </w:rPr>
        <w:t>2. Government of India has approved the extension of Interest Equalization Scheme for Pre and Post Shipment Rupee Export Credit, with the same scope and coverage, for a further period of three months, i.e., up to September 30, 2021. The extension takes effect from July 01, 2021 and ends on September 30, 2021 covering a period of three months.</w:t>
      </w:r>
    </w:p>
    <w:p w:rsidR="008F1299" w:rsidRDefault="008F1299" w:rsidP="008F1299">
      <w:pPr>
        <w:rPr>
          <w:rFonts w:ascii="Arial" w:hAnsi="Arial" w:cs="Arial"/>
          <w:color w:val="000000"/>
          <w:sz w:val="20"/>
          <w:szCs w:val="20"/>
        </w:rPr>
      </w:pPr>
      <w:r>
        <w:rPr>
          <w:rFonts w:ascii="Arial" w:hAnsi="Arial" w:cs="Arial"/>
          <w:color w:val="000000"/>
          <w:sz w:val="20"/>
          <w:szCs w:val="20"/>
        </w:rPr>
        <w:t>3. Consequently, the extant operational instructions issued by the Reserve Bank under the captioned Scheme shall continue to remain in force up to September 30, 2021.</w:t>
      </w:r>
    </w:p>
    <w:p w:rsidR="008F1299" w:rsidRDefault="008F1299" w:rsidP="008F1299">
      <w:pPr>
        <w:rPr>
          <w:rFonts w:ascii="Arial" w:hAnsi="Arial" w:cs="Arial"/>
          <w:color w:val="000000"/>
          <w:sz w:val="20"/>
          <w:szCs w:val="20"/>
        </w:rPr>
      </w:pPr>
      <w:r>
        <w:rPr>
          <w:rFonts w:ascii="Arial" w:hAnsi="Arial" w:cs="Arial"/>
          <w:color w:val="000000"/>
          <w:sz w:val="20"/>
          <w:szCs w:val="20"/>
        </w:rPr>
        <w:t>Yours faithfully</w:t>
      </w:r>
    </w:p>
    <w:p w:rsidR="008F1299" w:rsidRDefault="008F1299" w:rsidP="008F1299">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8F1299" w:rsidRDefault="008F1299" w:rsidP="008F1299">
      <w:pPr>
        <w:rPr>
          <w:rFonts w:ascii="Arial" w:hAnsi="Arial" w:cs="Arial"/>
          <w:color w:val="000000"/>
          <w:sz w:val="20"/>
          <w:szCs w:val="20"/>
        </w:rPr>
      </w:pPr>
      <w:r>
        <w:rPr>
          <w:rFonts w:ascii="Arial" w:hAnsi="Arial" w:cs="Arial"/>
          <w:color w:val="000000"/>
          <w:sz w:val="20"/>
          <w:szCs w:val="20"/>
        </w:rPr>
        <w:t xml:space="preserve">Reference link: </w:t>
      </w:r>
      <w:hyperlink r:id="rId81" w:history="1">
        <w:r>
          <w:rPr>
            <w:rStyle w:val="Hyperlink"/>
            <w:rFonts w:ascii="Arial" w:hAnsi="Arial" w:cs="Arial"/>
            <w:sz w:val="20"/>
            <w:szCs w:val="20"/>
          </w:rPr>
          <w:t>https://www.rbi.org.in/Scripts/NotificationUser.aspx?Id=12124&amp;Mode=0</w:t>
        </w:r>
      </w:hyperlink>
    </w:p>
    <w:p w:rsidR="008F1299" w:rsidRDefault="008F1299" w:rsidP="008F1299">
      <w:pPr>
        <w:rPr>
          <w:rFonts w:ascii="Arial" w:hAnsi="Arial" w:cs="Arial"/>
          <w:color w:val="000000"/>
          <w:sz w:val="20"/>
          <w:szCs w:val="20"/>
        </w:rPr>
      </w:pPr>
    </w:p>
    <w:p w:rsidR="008F1299" w:rsidRDefault="008F1299"/>
    <w:sectPr w:rsidR="008F1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5BDE1EEE"/>
    <w:multiLevelType w:val="multilevel"/>
    <w:tmpl w:val="735C1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99"/>
    <w:rsid w:val="00151431"/>
    <w:rsid w:val="008F1299"/>
    <w:rsid w:val="00CF1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842E"/>
  <w15:chartTrackingRefBased/>
  <w15:docId w15:val="{2A003378-D650-4DBB-A527-D0A8A0CB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29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299"/>
    <w:rPr>
      <w:color w:val="0563C1" w:themeColor="hyperlink"/>
      <w:u w:val="single"/>
    </w:rPr>
  </w:style>
  <w:style w:type="table" w:styleId="TableGrid">
    <w:name w:val="Table Grid"/>
    <w:basedOn w:val="TableNormal"/>
    <w:uiPriority w:val="39"/>
    <w:rsid w:val="00151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230">
      <w:bodyDiv w:val="1"/>
      <w:marLeft w:val="0"/>
      <w:marRight w:val="0"/>
      <w:marTop w:val="0"/>
      <w:marBottom w:val="0"/>
      <w:divBdr>
        <w:top w:val="none" w:sz="0" w:space="0" w:color="auto"/>
        <w:left w:val="none" w:sz="0" w:space="0" w:color="auto"/>
        <w:bottom w:val="none" w:sz="0" w:space="0" w:color="auto"/>
        <w:right w:val="none" w:sz="0" w:space="0" w:color="auto"/>
      </w:divBdr>
    </w:div>
    <w:div w:id="199561350">
      <w:bodyDiv w:val="1"/>
      <w:marLeft w:val="0"/>
      <w:marRight w:val="0"/>
      <w:marTop w:val="0"/>
      <w:marBottom w:val="0"/>
      <w:divBdr>
        <w:top w:val="none" w:sz="0" w:space="0" w:color="auto"/>
        <w:left w:val="none" w:sz="0" w:space="0" w:color="auto"/>
        <w:bottom w:val="none" w:sz="0" w:space="0" w:color="auto"/>
        <w:right w:val="none" w:sz="0" w:space="0" w:color="auto"/>
      </w:divBdr>
    </w:div>
    <w:div w:id="265892480">
      <w:bodyDiv w:val="1"/>
      <w:marLeft w:val="0"/>
      <w:marRight w:val="0"/>
      <w:marTop w:val="0"/>
      <w:marBottom w:val="0"/>
      <w:divBdr>
        <w:top w:val="none" w:sz="0" w:space="0" w:color="auto"/>
        <w:left w:val="none" w:sz="0" w:space="0" w:color="auto"/>
        <w:bottom w:val="none" w:sz="0" w:space="0" w:color="auto"/>
        <w:right w:val="none" w:sz="0" w:space="0" w:color="auto"/>
      </w:divBdr>
    </w:div>
    <w:div w:id="274949172">
      <w:bodyDiv w:val="1"/>
      <w:marLeft w:val="0"/>
      <w:marRight w:val="0"/>
      <w:marTop w:val="0"/>
      <w:marBottom w:val="0"/>
      <w:divBdr>
        <w:top w:val="none" w:sz="0" w:space="0" w:color="auto"/>
        <w:left w:val="none" w:sz="0" w:space="0" w:color="auto"/>
        <w:bottom w:val="none" w:sz="0" w:space="0" w:color="auto"/>
        <w:right w:val="none" w:sz="0" w:space="0" w:color="auto"/>
      </w:divBdr>
    </w:div>
    <w:div w:id="378015243">
      <w:bodyDiv w:val="1"/>
      <w:marLeft w:val="0"/>
      <w:marRight w:val="0"/>
      <w:marTop w:val="0"/>
      <w:marBottom w:val="0"/>
      <w:divBdr>
        <w:top w:val="none" w:sz="0" w:space="0" w:color="auto"/>
        <w:left w:val="none" w:sz="0" w:space="0" w:color="auto"/>
        <w:bottom w:val="none" w:sz="0" w:space="0" w:color="auto"/>
        <w:right w:val="none" w:sz="0" w:space="0" w:color="auto"/>
      </w:divBdr>
    </w:div>
    <w:div w:id="573707594">
      <w:bodyDiv w:val="1"/>
      <w:marLeft w:val="0"/>
      <w:marRight w:val="0"/>
      <w:marTop w:val="0"/>
      <w:marBottom w:val="0"/>
      <w:divBdr>
        <w:top w:val="none" w:sz="0" w:space="0" w:color="auto"/>
        <w:left w:val="none" w:sz="0" w:space="0" w:color="auto"/>
        <w:bottom w:val="none" w:sz="0" w:space="0" w:color="auto"/>
        <w:right w:val="none" w:sz="0" w:space="0" w:color="auto"/>
      </w:divBdr>
    </w:div>
    <w:div w:id="903175817">
      <w:bodyDiv w:val="1"/>
      <w:marLeft w:val="0"/>
      <w:marRight w:val="0"/>
      <w:marTop w:val="0"/>
      <w:marBottom w:val="0"/>
      <w:divBdr>
        <w:top w:val="none" w:sz="0" w:space="0" w:color="auto"/>
        <w:left w:val="none" w:sz="0" w:space="0" w:color="auto"/>
        <w:bottom w:val="none" w:sz="0" w:space="0" w:color="auto"/>
        <w:right w:val="none" w:sz="0" w:space="0" w:color="auto"/>
      </w:divBdr>
    </w:div>
    <w:div w:id="1043090710">
      <w:bodyDiv w:val="1"/>
      <w:marLeft w:val="0"/>
      <w:marRight w:val="0"/>
      <w:marTop w:val="0"/>
      <w:marBottom w:val="0"/>
      <w:divBdr>
        <w:top w:val="none" w:sz="0" w:space="0" w:color="auto"/>
        <w:left w:val="none" w:sz="0" w:space="0" w:color="auto"/>
        <w:bottom w:val="none" w:sz="0" w:space="0" w:color="auto"/>
        <w:right w:val="none" w:sz="0" w:space="0" w:color="auto"/>
      </w:divBdr>
    </w:div>
    <w:div w:id="1099302011">
      <w:bodyDiv w:val="1"/>
      <w:marLeft w:val="0"/>
      <w:marRight w:val="0"/>
      <w:marTop w:val="0"/>
      <w:marBottom w:val="0"/>
      <w:divBdr>
        <w:top w:val="none" w:sz="0" w:space="0" w:color="auto"/>
        <w:left w:val="none" w:sz="0" w:space="0" w:color="auto"/>
        <w:bottom w:val="none" w:sz="0" w:space="0" w:color="auto"/>
        <w:right w:val="none" w:sz="0" w:space="0" w:color="auto"/>
      </w:divBdr>
    </w:div>
    <w:div w:id="1681815162">
      <w:bodyDiv w:val="1"/>
      <w:marLeft w:val="0"/>
      <w:marRight w:val="0"/>
      <w:marTop w:val="0"/>
      <w:marBottom w:val="0"/>
      <w:divBdr>
        <w:top w:val="none" w:sz="0" w:space="0" w:color="auto"/>
        <w:left w:val="none" w:sz="0" w:space="0" w:color="auto"/>
        <w:bottom w:val="none" w:sz="0" w:space="0" w:color="auto"/>
        <w:right w:val="none" w:sz="0" w:space="0" w:color="auto"/>
      </w:divBdr>
    </w:div>
    <w:div w:id="1689522638">
      <w:bodyDiv w:val="1"/>
      <w:marLeft w:val="0"/>
      <w:marRight w:val="0"/>
      <w:marTop w:val="0"/>
      <w:marBottom w:val="0"/>
      <w:divBdr>
        <w:top w:val="none" w:sz="0" w:space="0" w:color="auto"/>
        <w:left w:val="none" w:sz="0" w:space="0" w:color="auto"/>
        <w:bottom w:val="none" w:sz="0" w:space="0" w:color="auto"/>
        <w:right w:val="none" w:sz="0" w:space="0" w:color="auto"/>
      </w:divBdr>
    </w:div>
    <w:div w:id="1801681990">
      <w:bodyDiv w:val="1"/>
      <w:marLeft w:val="0"/>
      <w:marRight w:val="0"/>
      <w:marTop w:val="0"/>
      <w:marBottom w:val="0"/>
      <w:divBdr>
        <w:top w:val="none" w:sz="0" w:space="0" w:color="auto"/>
        <w:left w:val="none" w:sz="0" w:space="0" w:color="auto"/>
        <w:bottom w:val="none" w:sz="0" w:space="0" w:color="auto"/>
        <w:right w:val="none" w:sz="0" w:space="0" w:color="auto"/>
      </w:divBdr>
    </w:div>
    <w:div w:id="1876893015">
      <w:bodyDiv w:val="1"/>
      <w:marLeft w:val="0"/>
      <w:marRight w:val="0"/>
      <w:marTop w:val="0"/>
      <w:marBottom w:val="0"/>
      <w:divBdr>
        <w:top w:val="none" w:sz="0" w:space="0" w:color="auto"/>
        <w:left w:val="none" w:sz="0" w:space="0" w:color="auto"/>
        <w:bottom w:val="none" w:sz="0" w:space="0" w:color="auto"/>
        <w:right w:val="none" w:sz="0" w:space="0" w:color="auto"/>
      </w:divBdr>
    </w:div>
    <w:div w:id="18956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204&amp;Mode=0" TargetMode="External"/><Relationship Id="rId18" Type="http://schemas.openxmlformats.org/officeDocument/2006/relationships/hyperlink" Target="https://rbidocs.rbi.org.in/rdocs/Content/PDFs/BOS2006_2302017.pdf" TargetMode="External"/><Relationship Id="rId26" Type="http://schemas.openxmlformats.org/officeDocument/2006/relationships/hyperlink" Target="https://www.rbi.org.in/Scripts/NotificationUser.aspx?Id=12189&amp;Mode=0" TargetMode="External"/><Relationship Id="rId39" Type="http://schemas.openxmlformats.org/officeDocument/2006/relationships/hyperlink" Target="https://www.rbi.org.in/Scripts/NotificationUser.aspx?Id=11945&amp;Mode=0" TargetMode="External"/><Relationship Id="rId21" Type="http://schemas.openxmlformats.org/officeDocument/2006/relationships/hyperlink" Target="https://rbidocs.rbi.org.in/rdocs/content/pdfs/RBIOS2021_121121_A.pdf" TargetMode="External"/><Relationship Id="rId34" Type="http://schemas.openxmlformats.org/officeDocument/2006/relationships/hyperlink" Target="https://www.rbi.org.in/Scripts/NotificationUser.aspx?Id=12186&amp;Mode=0" TargetMode="External"/><Relationship Id="rId42" Type="http://schemas.openxmlformats.org/officeDocument/2006/relationships/hyperlink" Target="https://www.rbi.org.in/Scripts/BS_ViewMasDirections.aspx?id=10084" TargetMode="External"/><Relationship Id="rId47" Type="http://schemas.openxmlformats.org/officeDocument/2006/relationships/hyperlink" Target="https://www.rbi.org.in/Scripts/NotificationUser.aspx?Id=12181&amp;Mode=0" TargetMode="External"/><Relationship Id="rId50" Type="http://schemas.openxmlformats.org/officeDocument/2006/relationships/hyperlink" Target="https://www.rbi.org.in/Scripts/BS_ViewMasCirculardetails.aspx?id=9908" TargetMode="External"/><Relationship Id="rId55" Type="http://schemas.openxmlformats.org/officeDocument/2006/relationships/hyperlink" Target="https://www.rbi.org.in/Scripts/NotificationUser.aspx?Id=12167&amp;Mode=0" TargetMode="External"/><Relationship Id="rId63" Type="http://schemas.openxmlformats.org/officeDocument/2006/relationships/hyperlink" Target="https://www.rbi.org.in/Scripts/NotificationUser.aspx?Id=12165&amp;Mode=0" TargetMode="External"/><Relationship Id="rId68" Type="http://schemas.openxmlformats.org/officeDocument/2006/relationships/hyperlink" Target="https://www.rbi.org.in/Scripts/NotificationUser.aspx?Id=12140&amp;Mode=0" TargetMode="External"/><Relationship Id="rId76" Type="http://schemas.openxmlformats.org/officeDocument/2006/relationships/hyperlink" Target="https://www.rbi.org.in/Scripts/NotificationUser.aspx?Id=11934&amp;Mode=0" TargetMode="External"/><Relationship Id="rId7" Type="http://schemas.openxmlformats.org/officeDocument/2006/relationships/hyperlink" Target="https://www.rbi.org.in/Scripts/NotificationUser.aspx?Id=12142&amp;Mode=0" TargetMode="External"/><Relationship Id="rId71" Type="http://schemas.openxmlformats.org/officeDocument/2006/relationships/hyperlink" Target="https://www.rbi.org.in/Scripts/NotificationUser.aspx?Id=12007&amp;Mode=0" TargetMode="External"/><Relationship Id="rId2" Type="http://schemas.openxmlformats.org/officeDocument/2006/relationships/styles" Target="styles.xml"/><Relationship Id="rId16" Type="http://schemas.openxmlformats.org/officeDocument/2006/relationships/hyperlink" Target="https://rbi.org.in/Scripts/NotificationUser.aspx?Id=11220&amp;Mode=0" TargetMode="External"/><Relationship Id="rId29" Type="http://schemas.openxmlformats.org/officeDocument/2006/relationships/hyperlink" Target="https://www.rbi.org.in/Scripts/NotificationUser.aspx?Id=12187&amp;Mode=0" TargetMode="External"/><Relationship Id="rId11" Type="http://schemas.openxmlformats.org/officeDocument/2006/relationships/hyperlink" Target="https://www.rbi.org.in/Scripts/BS_ViewMasDirections.aspx?id=11510" TargetMode="External"/><Relationship Id="rId24" Type="http://schemas.openxmlformats.org/officeDocument/2006/relationships/hyperlink" Target="https://www.rbi.org.in/Scripts/BS_ViewMasCirculardetails.aspx?id=9879" TargetMode="External"/><Relationship Id="rId32" Type="http://schemas.openxmlformats.org/officeDocument/2006/relationships/hyperlink" Target="https://www.rbi.org.in/Scripts/NotificationUser.aspx?Id=10921&amp;Mode=0" TargetMode="External"/><Relationship Id="rId37" Type="http://schemas.openxmlformats.org/officeDocument/2006/relationships/hyperlink" Target="https://www.rbi.org.in/Scripts/NotificationUser.aspx?Id=12185&amp;Mode=0" TargetMode="External"/><Relationship Id="rId40" Type="http://schemas.openxmlformats.org/officeDocument/2006/relationships/hyperlink" Target="https://www.rbi.org.in/Scripts/NotificationUser.aspx?Id=12184&amp;Mode=0" TargetMode="External"/><Relationship Id="rId45" Type="http://schemas.openxmlformats.org/officeDocument/2006/relationships/hyperlink" Target="https://www.rbi.org.in/Scripts/NotificationUser.aspx?Id=10792&amp;Mode=0" TargetMode="External"/><Relationship Id="rId53" Type="http://schemas.openxmlformats.org/officeDocument/2006/relationships/hyperlink" Target="https://www.rbi.org.in/Scripts/NotificationUser.aspx?Id=12171&amp;Mode=0" TargetMode="External"/><Relationship Id="rId58" Type="http://schemas.openxmlformats.org/officeDocument/2006/relationships/hyperlink" Target="https://www.rbi.org.in/Scripts/BS_PressReleaseDisplay.aspx?prid=49920" TargetMode="External"/><Relationship Id="rId66" Type="http://schemas.openxmlformats.org/officeDocument/2006/relationships/hyperlink" Target="https://rbi.org.in/Scripts/NotificationUser.aspx?Id=11961&amp;Mode=0" TargetMode="External"/><Relationship Id="rId74" Type="http://schemas.openxmlformats.org/officeDocument/2006/relationships/hyperlink" Target="https://www.rbi.org.in/Scripts/NotificationUser.aspx?Id=12132&amp;Mode=0" TargetMode="External"/><Relationship Id="rId79" Type="http://schemas.openxmlformats.org/officeDocument/2006/relationships/hyperlink" Target="https://www.rbi.org.in/Scripts/NotificationUser.aspx?Id=12126&amp;Mode=0" TargetMode="External"/><Relationship Id="rId5" Type="http://schemas.openxmlformats.org/officeDocument/2006/relationships/hyperlink" Target="https://www.rbi.org.in/Scripts/NotificationUser.aspx?Id=12142&amp;Mode=0" TargetMode="External"/><Relationship Id="rId61" Type="http://schemas.openxmlformats.org/officeDocument/2006/relationships/hyperlink" Target="https://www.rbi.org.in/Scripts/BS_PressReleaseDisplay.aspx?prid=49920" TargetMode="External"/><Relationship Id="rId82" Type="http://schemas.openxmlformats.org/officeDocument/2006/relationships/fontTable" Target="fontTable.xml"/><Relationship Id="rId10" Type="http://schemas.openxmlformats.org/officeDocument/2006/relationships/hyperlink" Target="https://www.rbi.org.in/Scripts/BS_PressReleaseDisplay.aspx?prid=52688" TargetMode="External"/><Relationship Id="rId19" Type="http://schemas.openxmlformats.org/officeDocument/2006/relationships/hyperlink" Target="https://rbidocs.rbi.org.in/rdocs/Content/PDFs/NBFC23022018.pdf" TargetMode="External"/><Relationship Id="rId31" Type="http://schemas.openxmlformats.org/officeDocument/2006/relationships/hyperlink" Target="https://www.rbi.org.in/Scripts/NotificationUser.aspx?Id=12187&amp;Mode=0" TargetMode="External"/><Relationship Id="rId44" Type="http://schemas.openxmlformats.org/officeDocument/2006/relationships/hyperlink" Target="https://www.rbi.org.in/Scripts/NotificationUser.aspx?Id=10095&amp;Mode=0" TargetMode="External"/><Relationship Id="rId52" Type="http://schemas.openxmlformats.org/officeDocument/2006/relationships/hyperlink" Target="https://www.rbi.org.in/Scripts/NotificationUser.aspx?Id=12171&amp;Mode=0" TargetMode="External"/><Relationship Id="rId60" Type="http://schemas.openxmlformats.org/officeDocument/2006/relationships/hyperlink" Target="https://www.rbi.org.in/Scripts/NotificationUser.aspx?Id=12166&amp;Mode=0" TargetMode="External"/><Relationship Id="rId65" Type="http://schemas.openxmlformats.org/officeDocument/2006/relationships/hyperlink" Target="https://www.rbi.org.in/Scripts/NotificationUser.aspx?Id=12155&amp;Mode=0" TargetMode="External"/><Relationship Id="rId73" Type="http://schemas.openxmlformats.org/officeDocument/2006/relationships/hyperlink" Target="https://www.rbi.org.in/Scripts/BS_ViewMasCirculardetails.aspx?id=9902" TargetMode="External"/><Relationship Id="rId78" Type="http://schemas.openxmlformats.org/officeDocument/2006/relationships/hyperlink" Target="https://rbidocs.rbi.org.in/rdocs/content/pdfs/OMTRADER07072021.pdf" TargetMode="External"/><Relationship Id="rId81" Type="http://schemas.openxmlformats.org/officeDocument/2006/relationships/hyperlink" Target="https://www.rbi.org.in/Scripts/NotificationUser.aspx?Id=12124&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207&amp;Mode=0" TargetMode="External"/><Relationship Id="rId14" Type="http://schemas.openxmlformats.org/officeDocument/2006/relationships/hyperlink" Target="https://www.rbi.org.in/Scripts/BS_ViewMasCirculardetails.aspx?id=12171" TargetMode="External"/><Relationship Id="rId22" Type="http://schemas.openxmlformats.org/officeDocument/2006/relationships/hyperlink" Target="https://rbidocs.rbi.org.in/rdocs/content/pdfs/RBIOS2021_121121.pdf" TargetMode="External"/><Relationship Id="rId27" Type="http://schemas.openxmlformats.org/officeDocument/2006/relationships/hyperlink" Target="https://www.rbi.org.in/Scripts/BS_ViewMasCirculardetails.aspx?id=9813" TargetMode="External"/><Relationship Id="rId30" Type="http://schemas.openxmlformats.org/officeDocument/2006/relationships/hyperlink" Target="https://www.rbi.org.in/Scripts/NotificationUser.aspx?Id=12187&amp;Mode=0" TargetMode="External"/><Relationship Id="rId35" Type="http://schemas.openxmlformats.org/officeDocument/2006/relationships/hyperlink" Target="https://rbi.org.in/Scripts/BS_ViewMasCirculardetails.aspx?id=9850" TargetMode="External"/><Relationship Id="rId43" Type="http://schemas.openxmlformats.org/officeDocument/2006/relationships/hyperlink" Target="https://www.rbi.org.in/Scripts/BS_ViewMasDirections.aspx?id=10084" TargetMode="External"/><Relationship Id="rId48" Type="http://schemas.openxmlformats.org/officeDocument/2006/relationships/hyperlink" Target="https://www.rbi.org.in/Scripts/NotificationUser.aspx?Id=8968&amp;Mode=0" TargetMode="External"/><Relationship Id="rId56" Type="http://schemas.openxmlformats.org/officeDocument/2006/relationships/hyperlink" Target="https://rbidocs.rbi.org.in/rdocs/content/pdfs/Gazette28092021.pdf" TargetMode="External"/><Relationship Id="rId64" Type="http://schemas.openxmlformats.org/officeDocument/2006/relationships/hyperlink" Target="https://www.rbi.org.in/scripts/NotificationUser.aspx?Id=4832&amp;Mode=0" TargetMode="External"/><Relationship Id="rId69" Type="http://schemas.openxmlformats.org/officeDocument/2006/relationships/hyperlink" Target="https://www.rbi.org.in/Scripts/NotificationUser.aspx?Id=11945&amp;Mode=0" TargetMode="External"/><Relationship Id="rId77" Type="http://schemas.openxmlformats.org/officeDocument/2006/relationships/hyperlink" Target="https://www.rbi.org.in/Scripts/NotificationUser.aspx?Id=11951&amp;Mode=0" TargetMode="External"/><Relationship Id="rId8" Type="http://schemas.openxmlformats.org/officeDocument/2006/relationships/hyperlink" Target="https://www.rbi.org.in/Scripts/BS_PressReleaseDisplay.aspx?prid=52686" TargetMode="External"/><Relationship Id="rId51" Type="http://schemas.openxmlformats.org/officeDocument/2006/relationships/hyperlink" Target="https://www.rbi.org.in/Scripts/NotificationUser.aspx?Id=12171&amp;Mode=0" TargetMode="External"/><Relationship Id="rId72" Type="http://schemas.openxmlformats.org/officeDocument/2006/relationships/hyperlink" Target="https://www.rbi.org.in/Scripts/NotificationUser.aspx?Id=12137&amp;Mode=0" TargetMode="External"/><Relationship Id="rId80" Type="http://schemas.openxmlformats.org/officeDocument/2006/relationships/hyperlink" Target="https://www.rbi.org.in/Scripts/NotificationUser.aspx?Id=12075&amp;Mode=0" TargetMode="External"/><Relationship Id="rId3" Type="http://schemas.openxmlformats.org/officeDocument/2006/relationships/settings" Target="settings.xml"/><Relationship Id="rId12" Type="http://schemas.openxmlformats.org/officeDocument/2006/relationships/hyperlink" Target="https://www.rbi.org.in/Scripts/BS_ViewMasDirections.aspx?id=11510" TargetMode="External"/><Relationship Id="rId17" Type="http://schemas.openxmlformats.org/officeDocument/2006/relationships/hyperlink" Target="https://rbi.org.in/Scripts/NotificationUser.aspx?Id=11461&amp;Mode=0" TargetMode="External"/><Relationship Id="rId25" Type="http://schemas.openxmlformats.org/officeDocument/2006/relationships/hyperlink" Target="https://www.rbi.org.in/Scripts/NotificationUser.aspx?Id=12189&amp;Mode=0" TargetMode="External"/><Relationship Id="rId33" Type="http://schemas.openxmlformats.org/officeDocument/2006/relationships/hyperlink" Target="https://www.rbi.org.in/Scripts/NotificationUser.aspx?Id=12186&amp;Mode=0" TargetMode="External"/><Relationship Id="rId38" Type="http://schemas.openxmlformats.org/officeDocument/2006/relationships/hyperlink" Target="https://www.rbi.org.in/Scripts/NotificationUser.aspx?Id=12185&amp;Mode=0" TargetMode="External"/><Relationship Id="rId46" Type="http://schemas.openxmlformats.org/officeDocument/2006/relationships/hyperlink" Target="https://www.rbi.org.in/Scripts/NotificationUser.aspx?Id=12181&amp;Mode=0" TargetMode="External"/><Relationship Id="rId59" Type="http://schemas.openxmlformats.org/officeDocument/2006/relationships/hyperlink" Target="https://www.rbi.org.in/Scripts/NotificationUser.aspx?Id=12166&amp;Mode=0" TargetMode="External"/><Relationship Id="rId67" Type="http://schemas.openxmlformats.org/officeDocument/2006/relationships/hyperlink" Target="https://www.rbi.org.in/Scripts/NotificationUser.aspx?Id=11941&amp;Mode=0" TargetMode="External"/><Relationship Id="rId20" Type="http://schemas.openxmlformats.org/officeDocument/2006/relationships/hyperlink" Target="https://rbidocs.rbi.org.in/rdocs/Content/PDFs/OSDT31012019.pdf" TargetMode="External"/><Relationship Id="rId41" Type="http://schemas.openxmlformats.org/officeDocument/2006/relationships/hyperlink" Target="https://www.rbi.org.in/Scripts/NotificationUser.aspx?Id=12184&amp;Mode=0" TargetMode="External"/><Relationship Id="rId54" Type="http://schemas.openxmlformats.org/officeDocument/2006/relationships/hyperlink" Target="https://www.rbi.org.in/Scripts/NotificationUser.aspx?Id=10256&amp;Mode=0" TargetMode="External"/><Relationship Id="rId62" Type="http://schemas.openxmlformats.org/officeDocument/2006/relationships/hyperlink" Target="https://www.rbi.org.in/Scripts/NotificationUser.aspx?Id=12165&amp;Mode=0" TargetMode="External"/><Relationship Id="rId70" Type="http://schemas.openxmlformats.org/officeDocument/2006/relationships/hyperlink" Target="https://www.rbi.org.in/Scripts/NotificationUser.aspx?Id=11990&amp;Mode=0" TargetMode="External"/><Relationship Id="rId75" Type="http://schemas.openxmlformats.org/officeDocument/2006/relationships/hyperlink" Target="https://www.rbi.org.in/Scripts/NotificationUser.aspx?Id=12128&amp;Mode=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BS_ViewMasDirections.aspx?id=12131" TargetMode="External"/><Relationship Id="rId15" Type="http://schemas.openxmlformats.org/officeDocument/2006/relationships/hyperlink" Target="https://www.rbi.org.in/Scripts/NotificationUser.aspx?Id=12194&amp;Mode=0" TargetMode="External"/><Relationship Id="rId23" Type="http://schemas.openxmlformats.org/officeDocument/2006/relationships/hyperlink" Target="https://www.rbi.org.in/Scripts/NotificationUser.aspx?Id=12192&amp;Mode=0" TargetMode="External"/><Relationship Id="rId28" Type="http://schemas.openxmlformats.org/officeDocument/2006/relationships/hyperlink" Target="https://rbi.org.in/" TargetMode="External"/><Relationship Id="rId36" Type="http://schemas.openxmlformats.org/officeDocument/2006/relationships/hyperlink" Target="https://www.rbi.org.in/Scripts/NotificationUser.aspx?Id=12185&amp;Mode=0" TargetMode="External"/><Relationship Id="rId49" Type="http://schemas.openxmlformats.org/officeDocument/2006/relationships/hyperlink" Target="https://www.rbi.org.in/Scripts/NotificationUser.aspx?Id=12178&amp;Mode=0" TargetMode="External"/><Relationship Id="rId57" Type="http://schemas.openxmlformats.org/officeDocument/2006/relationships/hyperlink" Target="https://www.rbi.org.in/Scripts/NotificationUser.aspx?Id=1216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7205</Words>
  <Characters>41071</Characters>
  <Application>Microsoft Office Word</Application>
  <DocSecurity>0</DocSecurity>
  <Lines>342</Lines>
  <Paragraphs>96</Paragraphs>
  <ScaleCrop>false</ScaleCrop>
  <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2022-02-02T07:17:00Z</dcterms:created>
  <dcterms:modified xsi:type="dcterms:W3CDTF">2022-02-08T09:09:00Z</dcterms:modified>
</cp:coreProperties>
</file>